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60765" w14:textId="0E508625" w:rsidR="00D90D73" w:rsidRPr="005B0903" w:rsidRDefault="00D90D73" w:rsidP="00D90D73">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4260B">
        <w:rPr>
          <w:bCs/>
          <w:noProof w:val="0"/>
          <w:sz w:val="24"/>
          <w:szCs w:val="24"/>
        </w:rPr>
        <w:t>7</w:t>
      </w:r>
      <w:r w:rsidRPr="005336CD">
        <w:rPr>
          <w:bCs/>
          <w:noProof w:val="0"/>
          <w:sz w:val="24"/>
          <w:szCs w:val="24"/>
        </w:rPr>
        <w:tab/>
      </w:r>
      <w:r w:rsidR="0026322B" w:rsidRPr="0026322B">
        <w:rPr>
          <w:bCs/>
          <w:noProof w:val="0"/>
          <w:sz w:val="24"/>
          <w:szCs w:val="24"/>
        </w:rPr>
        <w:t>R1-2112377</w:t>
      </w:r>
    </w:p>
    <w:p w14:paraId="68369610" w14:textId="77FF8C29" w:rsidR="00D90D73" w:rsidRDefault="00D90D73" w:rsidP="00D90D73">
      <w:pPr>
        <w:pStyle w:val="Header"/>
        <w:tabs>
          <w:tab w:val="right" w:pos="9639"/>
        </w:tabs>
        <w:spacing w:before="0" w:after="0"/>
        <w:rPr>
          <w:bCs/>
          <w:noProof w:val="0"/>
          <w:sz w:val="24"/>
          <w:szCs w:val="24"/>
        </w:rPr>
      </w:pPr>
      <w:r w:rsidRPr="008903BD">
        <w:rPr>
          <w:bCs/>
          <w:noProof w:val="0"/>
          <w:sz w:val="24"/>
          <w:szCs w:val="24"/>
        </w:rPr>
        <w:t xml:space="preserve">e-Meeting, </w:t>
      </w:r>
      <w:r w:rsidR="0094260B">
        <w:rPr>
          <w:bCs/>
          <w:noProof w:val="0"/>
          <w:sz w:val="24"/>
          <w:szCs w:val="24"/>
        </w:rPr>
        <w:t xml:space="preserve">Nov </w:t>
      </w:r>
      <w:r w:rsidRPr="008903BD">
        <w:rPr>
          <w:bCs/>
          <w:noProof w:val="0"/>
          <w:sz w:val="24"/>
          <w:szCs w:val="24"/>
        </w:rPr>
        <w:t>1</w:t>
      </w:r>
      <w:r w:rsidR="007F4B73">
        <w:rPr>
          <w:bCs/>
          <w:noProof w:val="0"/>
          <w:sz w:val="24"/>
          <w:szCs w:val="24"/>
        </w:rPr>
        <w:t>1</w:t>
      </w:r>
      <w:r w:rsidRPr="008903BD">
        <w:rPr>
          <w:bCs/>
          <w:noProof w:val="0"/>
          <w:sz w:val="24"/>
          <w:szCs w:val="24"/>
        </w:rPr>
        <w:t xml:space="preserve">th – </w:t>
      </w:r>
      <w:r w:rsidR="007F4B73">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0CDB5EE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B410E0">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C35331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On a</w:t>
      </w:r>
      <w:r w:rsidR="005A7FCD">
        <w:rPr>
          <w:rFonts w:ascii="Arial" w:hAnsi="Arial" w:cs="Arial"/>
          <w:b/>
          <w:bCs/>
          <w:sz w:val="24"/>
        </w:rPr>
        <w:t>spects related to duplex operation</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9D50AC6" w14:textId="0D10E5C9" w:rsidR="007F62D2" w:rsidRDefault="00695B22" w:rsidP="00B94F2B">
      <w:pPr>
        <w:spacing w:before="0" w:after="0"/>
        <w:rPr>
          <w:lang w:val="en-US"/>
        </w:rPr>
      </w:pPr>
      <w:r>
        <w:rPr>
          <w:lang w:val="en-US"/>
        </w:rPr>
        <w:t xml:space="preserve">In </w:t>
      </w:r>
      <w:r w:rsidR="003B2D8C" w:rsidRPr="008B020C">
        <w:rPr>
          <w:lang w:val="en-US"/>
        </w:rPr>
        <w:t>RAN</w:t>
      </w:r>
      <w:r w:rsidR="002E248E">
        <w:rPr>
          <w:lang w:val="en-US"/>
        </w:rPr>
        <w:t>1#10</w:t>
      </w:r>
      <w:r w:rsidR="006B79FB">
        <w:rPr>
          <w:lang w:val="en-US"/>
        </w:rPr>
        <w:t>5</w:t>
      </w:r>
      <w:r w:rsidR="002E248E">
        <w:rPr>
          <w:lang w:val="en-US"/>
        </w:rPr>
        <w:t>-e</w:t>
      </w:r>
      <w:r w:rsidR="0012608E">
        <w:rPr>
          <w:lang w:val="en-US"/>
        </w:rPr>
        <w:t>,</w:t>
      </w:r>
      <w:r w:rsidR="00E31043">
        <w:rPr>
          <w:lang w:val="en-US"/>
        </w:rPr>
        <w:t xml:space="preserve"> </w:t>
      </w:r>
      <w:r w:rsidR="00B94F2B">
        <w:rPr>
          <w:lang w:val="en-US"/>
        </w:rPr>
        <w:t>collision handling has been extensively discussed</w:t>
      </w:r>
      <w:r w:rsidR="00F830A8">
        <w:rPr>
          <w:lang w:val="en-US"/>
        </w:rPr>
        <w:t xml:space="preserve"> and good progress</w:t>
      </w:r>
      <w:r w:rsidR="006B79FB">
        <w:rPr>
          <w:lang w:val="en-US"/>
        </w:rPr>
        <w:t xml:space="preserve"> on remaining cases</w:t>
      </w:r>
      <w:r w:rsidR="00F830A8">
        <w:rPr>
          <w:lang w:val="en-US"/>
        </w:rPr>
        <w:t xml:space="preserve"> has been achieved</w:t>
      </w:r>
      <w:r w:rsidR="00694797">
        <w:rPr>
          <w:lang w:val="en-US"/>
        </w:rPr>
        <w:t>. The following remained open:</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F34358">
        <w:tc>
          <w:tcPr>
            <w:tcW w:w="9629" w:type="dxa"/>
            <w:shd w:val="clear" w:color="auto" w:fill="auto"/>
          </w:tcPr>
          <w:p w14:paraId="5DB22570" w14:textId="77777777" w:rsidR="00AE5862" w:rsidRPr="00AE5862" w:rsidRDefault="00AE5862" w:rsidP="00AE5862">
            <w:pPr>
              <w:jc w:val="both"/>
              <w:rPr>
                <w:b/>
                <w:bCs/>
                <w:sz w:val="16"/>
                <w:szCs w:val="16"/>
                <w:highlight w:val="green"/>
                <w:lang w:val="en-US"/>
              </w:rPr>
            </w:pPr>
            <w:r w:rsidRPr="00AE5862">
              <w:rPr>
                <w:b/>
                <w:bCs/>
                <w:sz w:val="16"/>
                <w:szCs w:val="16"/>
                <w:highlight w:val="green"/>
                <w:lang w:val="en-US"/>
              </w:rPr>
              <w:t>Agreement</w:t>
            </w:r>
          </w:p>
          <w:p w14:paraId="1653291C" w14:textId="77777777" w:rsidR="00AE5862" w:rsidRPr="00AE5862" w:rsidRDefault="00AE5862" w:rsidP="00AE5862">
            <w:pPr>
              <w:pStyle w:val="ListParagraph"/>
              <w:spacing w:after="180" w:line="252" w:lineRule="auto"/>
              <w:ind w:left="0"/>
              <w:jc w:val="both"/>
              <w:rPr>
                <w:sz w:val="20"/>
                <w:szCs w:val="16"/>
                <w:lang w:val="en-US" w:eastAsia="en-US"/>
              </w:rPr>
            </w:pPr>
            <w:r w:rsidRPr="00AE5862">
              <w:rPr>
                <w:sz w:val="20"/>
                <w:szCs w:val="16"/>
                <w:lang w:val="en-US" w:eastAsia="en-US"/>
              </w:rPr>
              <w:t>For Case 1, the existing timeline in Rel-15/16 NR for operation on a single carrier /single cell in unpaired spectrum is reused for HD-FDD</w:t>
            </w:r>
          </w:p>
          <w:p w14:paraId="7669AD61"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b/>
                <w:bCs/>
                <w:color w:val="000000"/>
                <w:sz w:val="18"/>
                <w:szCs w:val="18"/>
                <w:shd w:val="clear" w:color="auto" w:fill="00FF00"/>
                <w:lang w:val="en-US" w:eastAsia="zh-CN"/>
              </w:rPr>
              <w:t>Agreement</w:t>
            </w:r>
          </w:p>
          <w:p w14:paraId="4F2D4FA2" w14:textId="77777777" w:rsidR="00AE5862" w:rsidRPr="00AE5862" w:rsidRDefault="00AE5862" w:rsidP="00AE5862">
            <w:pPr>
              <w:numPr>
                <w:ilvl w:val="0"/>
                <w:numId w:val="31"/>
              </w:numPr>
              <w:shd w:val="clear" w:color="auto" w:fill="FFFFFF"/>
              <w:spacing w:before="0" w:after="0" w:line="231" w:lineRule="atLeast"/>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For HD-FDD switching time, reuse existing switching times for UE not capable of full duplex in TS 38.211, Table 4.3.2-3.</w:t>
            </w:r>
          </w:p>
          <w:p w14:paraId="1854DB30" w14:textId="3EA6D653" w:rsidR="00AE5862" w:rsidRPr="00AE5862" w:rsidRDefault="00AE5862" w:rsidP="00AE5862">
            <w:pPr>
              <w:shd w:val="clear" w:color="auto" w:fill="FFFFFF"/>
              <w:jc w:val="both"/>
              <w:rPr>
                <w:rFonts w:ascii="Microsoft YaHei UI" w:eastAsia="Microsoft YaHei UI" w:hAnsi="Microsoft YaHei UI" w:cs="SimSun"/>
                <w:color w:val="000000"/>
                <w:sz w:val="18"/>
                <w:szCs w:val="18"/>
                <w:lang w:val="en-US" w:eastAsia="zh-CN"/>
              </w:rPr>
            </w:pPr>
            <w:r w:rsidRPr="00AE5862">
              <w:rPr>
                <w:rFonts w:ascii="Microsoft YaHei UI" w:eastAsia="Microsoft YaHei UI" w:hAnsi="Microsoft YaHei UI" w:cs="SimSun" w:hint="eastAsia"/>
                <w:color w:val="000000"/>
                <w:sz w:val="18"/>
                <w:szCs w:val="18"/>
                <w:lang w:val="en-US" w:eastAsia="zh-CN"/>
              </w:rPr>
              <w:t>Note: With this agreement, no need to confirm below Working Assumption</w:t>
            </w:r>
            <w:r w:rsidR="003B4FAE">
              <w:rPr>
                <w:rFonts w:ascii="Microsoft YaHei UI" w:eastAsia="Microsoft YaHei UI" w:hAnsi="Microsoft YaHei UI" w:cs="SimSun"/>
                <w:color w:val="000000"/>
                <w:sz w:val="18"/>
                <w:szCs w:val="18"/>
                <w:lang w:val="en-US" w:eastAsia="zh-CN"/>
              </w:rPr>
              <w:t xml:space="preserve"> </w:t>
            </w:r>
            <w:r w:rsidRPr="00AE5862">
              <w:rPr>
                <w:rFonts w:ascii="Microsoft YaHei UI" w:eastAsia="Microsoft YaHei UI" w:hAnsi="Microsoft YaHei UI" w:cs="SimSun" w:hint="eastAsia"/>
                <w:color w:val="000000"/>
                <w:sz w:val="18"/>
                <w:szCs w:val="18"/>
                <w:lang w:val="en-US" w:eastAsia="zh-CN"/>
              </w:rPr>
              <w:t>(From RAN1#104e)</w:t>
            </w:r>
          </w:p>
          <w:p w14:paraId="0A69720B" w14:textId="77777777" w:rsidR="00AE5862" w:rsidRPr="00AE5862" w:rsidRDefault="00AE5862" w:rsidP="00AE5862">
            <w:pPr>
              <w:shd w:val="clear" w:color="auto" w:fill="FFFFFF"/>
              <w:spacing w:line="231" w:lineRule="atLeast"/>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shd w:val="clear" w:color="auto" w:fill="808080"/>
                <w:lang w:val="en-US" w:eastAsia="zh-CN"/>
              </w:rPr>
              <w:t>Working Assumption (FromRAN1#104</w:t>
            </w:r>
            <w:proofErr w:type="gramStart"/>
            <w:r w:rsidRPr="00AE5862">
              <w:rPr>
                <w:rFonts w:ascii="Calibri" w:eastAsia="Microsoft YaHei UI" w:hAnsi="Calibri" w:cs="Calibri"/>
                <w:color w:val="000000"/>
                <w:sz w:val="18"/>
                <w:szCs w:val="18"/>
                <w:shd w:val="clear" w:color="auto" w:fill="808080"/>
                <w:lang w:val="en-US" w:eastAsia="zh-CN"/>
              </w:rPr>
              <w:t>e )</w:t>
            </w:r>
            <w:proofErr w:type="gramEnd"/>
          </w:p>
          <w:p w14:paraId="0A48CCEB" w14:textId="77777777" w:rsidR="00AE5862" w:rsidRPr="00AE5862" w:rsidRDefault="00AE5862" w:rsidP="00AE5862">
            <w:pPr>
              <w:numPr>
                <w:ilvl w:val="0"/>
                <w:numId w:val="32"/>
              </w:numPr>
              <w:shd w:val="clear" w:color="auto" w:fill="FFFFFF"/>
              <w:spacing w:before="0" w:after="0" w:line="231" w:lineRule="atLeast"/>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For HD-FDD switching time, reuse existing switching times for UE not capable of full duplex in TS 38.211, Table 4.3.2-3.</w:t>
            </w:r>
          </w:p>
          <w:p w14:paraId="25E9FA56" w14:textId="77777777" w:rsidR="00AE5862" w:rsidRPr="00AE5862" w:rsidRDefault="00AE5862" w:rsidP="00AE5862">
            <w:pPr>
              <w:numPr>
                <w:ilvl w:val="1"/>
                <w:numId w:val="32"/>
              </w:numPr>
              <w:shd w:val="clear" w:color="auto" w:fill="FFFFFF"/>
              <w:spacing w:before="0" w:after="0" w:line="231" w:lineRule="atLeast"/>
              <w:rPr>
                <w:rFonts w:ascii="Calibri" w:eastAsia="Microsoft YaHei UI" w:hAnsi="Calibri" w:cs="Calibri"/>
                <w:color w:val="FF0000"/>
                <w:sz w:val="18"/>
                <w:szCs w:val="18"/>
                <w:lang w:val="en-US" w:eastAsia="zh-CN"/>
              </w:rPr>
            </w:pPr>
            <w:r w:rsidRPr="00AE5862">
              <w:rPr>
                <w:rFonts w:ascii="Calibri" w:eastAsia="Microsoft YaHei UI" w:hAnsi="Calibri" w:cs="Calibri"/>
                <w:strike/>
                <w:color w:val="FF0000"/>
                <w:sz w:val="18"/>
                <w:szCs w:val="18"/>
                <w:lang w:val="en-US" w:eastAsia="zh-CN"/>
              </w:rPr>
              <w:t>FFS: whether to define the guard times in symbol units</w:t>
            </w:r>
          </w:p>
          <w:p w14:paraId="1C357A1B" w14:textId="77777777" w:rsidR="00AE5862" w:rsidRPr="00AE5862" w:rsidRDefault="00AE5862" w:rsidP="00AE5862">
            <w:pPr>
              <w:numPr>
                <w:ilvl w:val="1"/>
                <w:numId w:val="32"/>
              </w:numPr>
              <w:shd w:val="clear" w:color="auto" w:fill="FFFFFF"/>
              <w:spacing w:before="0" w:after="0" w:line="231" w:lineRule="atLeast"/>
              <w:rPr>
                <w:rFonts w:ascii="Calibri" w:eastAsia="Microsoft YaHei UI" w:hAnsi="Calibri" w:cs="Calibri"/>
                <w:color w:val="FF0000"/>
                <w:sz w:val="18"/>
                <w:szCs w:val="18"/>
                <w:lang w:val="en-US" w:eastAsia="zh-CN"/>
              </w:rPr>
            </w:pPr>
            <w:r w:rsidRPr="00AE5862">
              <w:rPr>
                <w:rFonts w:ascii="Calibri" w:eastAsia="Microsoft YaHei UI" w:hAnsi="Calibri" w:cs="Calibri"/>
                <w:strike/>
                <w:color w:val="FF0000"/>
                <w:sz w:val="18"/>
                <w:szCs w:val="18"/>
                <w:lang w:val="en-US" w:eastAsia="zh-CN"/>
              </w:rPr>
              <w:t>FFS: the switching positions</w:t>
            </w:r>
          </w:p>
          <w:p w14:paraId="4A9A0E83"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Conclusion:</w:t>
            </w:r>
          </w:p>
          <w:p w14:paraId="132B93FB" w14:textId="77777777" w:rsidR="00AE5862" w:rsidRPr="00AE5862" w:rsidRDefault="00AE5862" w:rsidP="00AE5862">
            <w:pPr>
              <w:numPr>
                <w:ilvl w:val="0"/>
                <w:numId w:val="33"/>
              </w:numPr>
              <w:shd w:val="clear" w:color="auto" w:fill="FFFFFF"/>
              <w:spacing w:before="0" w:after="0" w:line="233" w:lineRule="atLeast"/>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No consensus on defining a guard time in symbol units for HD-FDD Type A operation in Rel-17</w:t>
            </w:r>
          </w:p>
          <w:p w14:paraId="59D40286" w14:textId="11DD732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 </w:t>
            </w:r>
            <w:r w:rsidRPr="00AE5862">
              <w:rPr>
                <w:rFonts w:ascii="Calibri" w:eastAsia="Microsoft YaHei UI" w:hAnsi="Calibri" w:cs="Calibri"/>
                <w:b/>
                <w:bCs/>
                <w:color w:val="000000"/>
                <w:sz w:val="18"/>
                <w:szCs w:val="18"/>
                <w:shd w:val="clear" w:color="auto" w:fill="00FF00"/>
                <w:lang w:val="en-US" w:eastAsia="zh-CN"/>
              </w:rPr>
              <w:t>Agreement</w:t>
            </w:r>
          </w:p>
          <w:p w14:paraId="3571A9A5"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b/>
                <w:bCs/>
                <w:color w:val="000000"/>
                <w:sz w:val="18"/>
                <w:szCs w:val="18"/>
                <w:lang w:val="en-US" w:eastAsia="zh-CN"/>
              </w:rPr>
              <w:t>Revise the RAN1#104bis-e agreement for Case 3 as the following</w:t>
            </w:r>
          </w:p>
          <w:p w14:paraId="6485E60C" w14:textId="77777777" w:rsidR="00AE5862" w:rsidRPr="00AE5862" w:rsidRDefault="00AE5862" w:rsidP="00AE5862">
            <w:pPr>
              <w:numPr>
                <w:ilvl w:val="0"/>
                <w:numId w:val="34"/>
              </w:numPr>
              <w:shd w:val="clear" w:color="auto" w:fill="FFFFFF"/>
              <w:spacing w:before="0" w:after="0" w:line="231" w:lineRule="atLeast"/>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For Case 3, semi-statically configured DL reception vs. semi-statically configured UL transmission</w:t>
            </w:r>
          </w:p>
          <w:p w14:paraId="7FD742A8" w14:textId="77777777" w:rsidR="00AE5862" w:rsidRPr="00AE5862" w:rsidRDefault="00AE5862" w:rsidP="00AE5862">
            <w:pPr>
              <w:numPr>
                <w:ilvl w:val="1"/>
                <w:numId w:val="34"/>
              </w:numPr>
              <w:shd w:val="clear" w:color="auto" w:fill="FFFFFF"/>
              <w:spacing w:before="0" w:after="0" w:line="231" w:lineRule="atLeast"/>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0025213E" w14:textId="77777777" w:rsidR="00AE5862" w:rsidRPr="00AE5862" w:rsidRDefault="00AE5862" w:rsidP="00AE5862">
            <w:pPr>
              <w:numPr>
                <w:ilvl w:val="1"/>
                <w:numId w:val="34"/>
              </w:numPr>
              <w:shd w:val="clear" w:color="auto" w:fill="FFFFFF"/>
              <w:spacing w:before="0" w:after="0" w:line="231" w:lineRule="atLeast"/>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2B7904E4" w14:textId="77777777" w:rsidR="00AE5862" w:rsidRPr="00AE5862" w:rsidRDefault="00AE5862" w:rsidP="00AE5862">
            <w:pPr>
              <w:numPr>
                <w:ilvl w:val="2"/>
                <w:numId w:val="34"/>
              </w:numPr>
              <w:shd w:val="clear" w:color="auto" w:fill="FFFFFF"/>
              <w:spacing w:before="0" w:after="0" w:line="231" w:lineRule="atLeast"/>
              <w:rPr>
                <w:rFonts w:ascii="Calibri" w:eastAsia="Microsoft YaHei UI" w:hAnsi="Calibri" w:cs="Calibri"/>
                <w:sz w:val="18"/>
                <w:szCs w:val="18"/>
                <w:lang w:val="en-US" w:eastAsia="zh-CN"/>
              </w:rPr>
            </w:pPr>
            <w:r w:rsidRPr="00AE5862">
              <w:rPr>
                <w:rFonts w:ascii="Calibri" w:eastAsia="Microsoft YaHei UI" w:hAnsi="Calibri" w:cs="Calibri"/>
                <w:sz w:val="18"/>
                <w:szCs w:val="18"/>
                <w:lang w:val="en-US" w:eastAsia="zh-CN"/>
              </w:rPr>
              <w:t>Cell-specifically configured DL reception refers to PDCCH in Type-0/0A/1/2 CSS set</w:t>
            </w:r>
          </w:p>
          <w:p w14:paraId="5CBD6F9A" w14:textId="77777777" w:rsidR="00AE5862" w:rsidRPr="00AE5862" w:rsidRDefault="00AE5862" w:rsidP="00AE5862">
            <w:pPr>
              <w:numPr>
                <w:ilvl w:val="1"/>
                <w:numId w:val="34"/>
              </w:numPr>
              <w:shd w:val="clear" w:color="auto" w:fill="FFFFFF"/>
              <w:spacing w:before="0" w:after="0" w:line="231" w:lineRule="atLeast"/>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 xml:space="preserve">FFS: </w:t>
            </w:r>
            <w:proofErr w:type="gramStart"/>
            <w:r w:rsidRPr="00AE5862">
              <w:rPr>
                <w:rFonts w:ascii="Calibri" w:eastAsia="Microsoft YaHei UI" w:hAnsi="Calibri" w:cs="Calibri"/>
                <w:color w:val="000000"/>
                <w:sz w:val="18"/>
                <w:szCs w:val="18"/>
                <w:lang w:val="en-US" w:eastAsia="zh-CN"/>
              </w:rPr>
              <w:t>whether or not</w:t>
            </w:r>
            <w:proofErr w:type="gramEnd"/>
            <w:r w:rsidRPr="00AE5862">
              <w:rPr>
                <w:rFonts w:ascii="Calibri" w:eastAsia="Microsoft YaHei UI" w:hAnsi="Calibri" w:cs="Calibri"/>
                <w:color w:val="000000"/>
                <w:sz w:val="18"/>
                <w:szCs w:val="18"/>
                <w:lang w:val="en-US" w:eastAsia="zh-CN"/>
              </w:rPr>
              <w:t xml:space="preserve"> there are conditions that need to be considered</w:t>
            </w:r>
          </w:p>
          <w:p w14:paraId="4A236489" w14:textId="35FC0A5F"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 </w:t>
            </w:r>
            <w:r w:rsidRPr="00AE5862">
              <w:rPr>
                <w:rFonts w:ascii="Calibri" w:eastAsia="Microsoft YaHei UI" w:hAnsi="Calibri" w:cs="Calibri"/>
                <w:b/>
                <w:bCs/>
                <w:color w:val="000000"/>
                <w:sz w:val="18"/>
                <w:szCs w:val="18"/>
                <w:shd w:val="clear" w:color="auto" w:fill="00FF00"/>
                <w:lang w:val="en-US" w:eastAsia="zh-CN"/>
              </w:rPr>
              <w:t>Agreement</w:t>
            </w:r>
          </w:p>
          <w:p w14:paraId="4AD4B16A" w14:textId="77777777" w:rsidR="00AE5862" w:rsidRPr="00AE5862" w:rsidRDefault="00AE5862" w:rsidP="00AE5862">
            <w:pPr>
              <w:numPr>
                <w:ilvl w:val="0"/>
                <w:numId w:val="35"/>
              </w:numPr>
              <w:shd w:val="clear" w:color="auto" w:fill="FFFFFF"/>
              <w:spacing w:before="0" w:after="0" w:line="233" w:lineRule="atLeast"/>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 xml:space="preserve">For Type-A HD-FDD, no additional UE </w:t>
            </w:r>
            <w:proofErr w:type="spellStart"/>
            <w:r w:rsidRPr="00AE5862">
              <w:rPr>
                <w:rFonts w:ascii="Calibri" w:eastAsia="Microsoft YaHei UI" w:hAnsi="Calibri" w:cs="Calibri"/>
                <w:color w:val="000000"/>
                <w:sz w:val="18"/>
                <w:szCs w:val="18"/>
                <w:lang w:val="en-US" w:eastAsia="zh-CN"/>
              </w:rPr>
              <w:t>behaviour</w:t>
            </w:r>
            <w:proofErr w:type="spellEnd"/>
            <w:r w:rsidRPr="00AE5862">
              <w:rPr>
                <w:rFonts w:ascii="Calibri" w:eastAsia="Microsoft YaHei UI" w:hAnsi="Calibri" w:cs="Calibri"/>
                <w:color w:val="000000"/>
                <w:sz w:val="18"/>
                <w:szCs w:val="18"/>
                <w:lang w:val="en-US" w:eastAsia="zh-CN"/>
              </w:rPr>
              <w:t xml:space="preserve"> for UL/DL collision handling based on a priority indicator is specified as compared to the existing specification</w:t>
            </w:r>
          </w:p>
          <w:p w14:paraId="5CA6FA96"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color w:val="000000"/>
                <w:sz w:val="18"/>
                <w:szCs w:val="18"/>
                <w:lang w:val="en-US" w:eastAsia="zh-CN"/>
              </w:rPr>
              <w:t> Agreement</w:t>
            </w:r>
          </w:p>
          <w:p w14:paraId="0CE8267C" w14:textId="77777777" w:rsidR="00AE5862" w:rsidRPr="00AE5862" w:rsidRDefault="00AE5862" w:rsidP="00AE5862">
            <w:pPr>
              <w:numPr>
                <w:ilvl w:val="0"/>
                <w:numId w:val="36"/>
              </w:numPr>
              <w:shd w:val="clear" w:color="auto" w:fill="FFFFFF"/>
              <w:spacing w:before="100" w:beforeAutospacing="1" w:after="100" w:afterAutospacing="1"/>
              <w:rPr>
                <w:rFonts w:ascii="Microsoft YaHei UI" w:eastAsia="Microsoft YaHei UI" w:hAnsi="Microsoft YaHei UI" w:cs="SimSun"/>
                <w:color w:val="000000"/>
                <w:sz w:val="18"/>
                <w:szCs w:val="18"/>
                <w:lang w:val="en-US" w:eastAsia="zh-CN"/>
              </w:rPr>
            </w:pPr>
            <w:r w:rsidRPr="00AE5862">
              <w:rPr>
                <w:rFonts w:eastAsia="Microsoft YaHei UI"/>
                <w:color w:val="000000"/>
                <w:sz w:val="16"/>
                <w:szCs w:val="16"/>
                <w:lang w:val="en-US" w:eastAsia="zh-CN"/>
              </w:rPr>
              <w:t>Whether or not to account for the Tx/Rx switching time before and after the set of SSB symbols can be further discussed under Case 9</w:t>
            </w:r>
          </w:p>
          <w:p w14:paraId="41191C4B"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b/>
                <w:bCs/>
                <w:color w:val="000000"/>
                <w:sz w:val="18"/>
                <w:szCs w:val="18"/>
                <w:shd w:val="clear" w:color="auto" w:fill="00FF00"/>
                <w:lang w:val="en-US" w:eastAsia="zh-CN"/>
              </w:rPr>
              <w:t>Agreement</w:t>
            </w:r>
          </w:p>
          <w:p w14:paraId="7B5F3A64" w14:textId="77777777" w:rsidR="00AE5862" w:rsidRPr="00AE5862" w:rsidRDefault="00AE5862" w:rsidP="00AE5862">
            <w:pPr>
              <w:numPr>
                <w:ilvl w:val="0"/>
                <w:numId w:val="37"/>
              </w:numPr>
              <w:shd w:val="clear" w:color="auto" w:fill="FFFFFF"/>
              <w:spacing w:before="100" w:beforeAutospacing="1" w:after="100" w:afterAutospacing="1"/>
              <w:rPr>
                <w:rFonts w:ascii="Microsoft YaHei UI" w:eastAsia="Microsoft YaHei UI" w:hAnsi="Microsoft YaHei UI" w:cs="SimSun"/>
                <w:color w:val="000000"/>
                <w:sz w:val="18"/>
                <w:szCs w:val="18"/>
                <w:lang w:val="en-US" w:eastAsia="zh-CN"/>
              </w:rPr>
            </w:pPr>
            <w:r w:rsidRPr="00AE5862">
              <w:rPr>
                <w:rFonts w:eastAsia="Microsoft YaHei UI"/>
                <w:color w:val="000000"/>
                <w:sz w:val="16"/>
                <w:szCs w:val="16"/>
                <w:lang w:val="en-US" w:eastAsia="zh-CN"/>
              </w:rPr>
              <w:lastRenderedPageBreak/>
              <w:t>For Case 8 of valid RO overlapping with dynamically scheduled DL reception, leave it to UE implementation whether to receive the dynamically scheduled DL or transmit PRACH</w:t>
            </w:r>
          </w:p>
          <w:p w14:paraId="0F5003AB" w14:textId="77777777" w:rsidR="00AE5862" w:rsidRPr="00AE5862" w:rsidRDefault="00AE5862" w:rsidP="00AE5862">
            <w:pPr>
              <w:shd w:val="clear" w:color="auto" w:fill="FFFFFF"/>
              <w:jc w:val="both"/>
              <w:rPr>
                <w:rFonts w:ascii="Calibri" w:eastAsia="Microsoft YaHei UI" w:hAnsi="Calibri" w:cs="Calibri"/>
                <w:color w:val="000000"/>
                <w:sz w:val="18"/>
                <w:szCs w:val="18"/>
                <w:lang w:val="en-US" w:eastAsia="zh-CN"/>
              </w:rPr>
            </w:pPr>
            <w:r w:rsidRPr="00AE5862">
              <w:rPr>
                <w:rFonts w:ascii="Calibri" w:eastAsia="Microsoft YaHei UI" w:hAnsi="Calibri" w:cs="Calibri"/>
                <w:b/>
                <w:bCs/>
                <w:color w:val="000000"/>
                <w:sz w:val="18"/>
                <w:szCs w:val="18"/>
                <w:shd w:val="clear" w:color="auto" w:fill="00FF00"/>
                <w:lang w:val="en-US" w:eastAsia="zh-CN"/>
              </w:rPr>
              <w:t>Agreement</w:t>
            </w:r>
          </w:p>
          <w:p w14:paraId="0BA97BFC" w14:textId="77777777" w:rsidR="00AE5862" w:rsidRPr="00AE5862" w:rsidRDefault="00AE5862" w:rsidP="00AE5862">
            <w:pPr>
              <w:numPr>
                <w:ilvl w:val="0"/>
                <w:numId w:val="38"/>
              </w:numPr>
              <w:shd w:val="clear" w:color="auto" w:fill="FFFFFF"/>
              <w:spacing w:before="100" w:beforeAutospacing="1" w:after="100" w:afterAutospacing="1"/>
              <w:rPr>
                <w:rFonts w:ascii="Microsoft YaHei UI" w:eastAsia="Microsoft YaHei UI" w:hAnsi="Microsoft YaHei UI" w:cs="SimSun"/>
                <w:color w:val="000000"/>
                <w:sz w:val="18"/>
                <w:szCs w:val="18"/>
                <w:lang w:val="en-US" w:eastAsia="zh-CN"/>
              </w:rPr>
            </w:pPr>
            <w:r w:rsidRPr="00AE5862">
              <w:rPr>
                <w:rFonts w:eastAsia="Microsoft YaHei UI"/>
                <w:color w:val="000000"/>
                <w:sz w:val="16"/>
                <w:szCs w:val="16"/>
                <w:lang w:val="en-US" w:eastAsia="zh-CN"/>
              </w:rPr>
              <w:t xml:space="preserve">The same validation rules of </w:t>
            </w:r>
            <w:proofErr w:type="spellStart"/>
            <w:r w:rsidRPr="00AE5862">
              <w:rPr>
                <w:rFonts w:eastAsia="Microsoft YaHei UI"/>
                <w:color w:val="000000"/>
                <w:sz w:val="16"/>
                <w:szCs w:val="16"/>
                <w:lang w:val="en-US" w:eastAsia="zh-CN"/>
              </w:rPr>
              <w:t>MsgA</w:t>
            </w:r>
            <w:proofErr w:type="spellEnd"/>
            <w:r w:rsidRPr="00AE5862">
              <w:rPr>
                <w:rFonts w:eastAsia="Microsoft YaHei UI"/>
                <w:color w:val="000000"/>
                <w:sz w:val="16"/>
                <w:szCs w:val="16"/>
                <w:lang w:val="en-US" w:eastAsia="zh-CN"/>
              </w:rPr>
              <w:t xml:space="preserve"> PUSCH occasions and RO/Preamble-to-PRU mapping rules for FDD can be reused for HD-FD</w:t>
            </w:r>
          </w:p>
          <w:p w14:paraId="00062341" w14:textId="5D556C58" w:rsidR="00AE5862" w:rsidRPr="00AE5862" w:rsidRDefault="00AE5862" w:rsidP="00AE5862">
            <w:pPr>
              <w:shd w:val="clear" w:color="auto" w:fill="FFFFFF"/>
              <w:spacing w:line="252" w:lineRule="atLeast"/>
              <w:jc w:val="both"/>
              <w:rPr>
                <w:rFonts w:ascii="Gulim" w:eastAsia="Gulim" w:hAnsi="Gulim" w:cs="SimSun"/>
                <w:color w:val="000000"/>
                <w:highlight w:val="green"/>
                <w:lang w:val="en-US" w:eastAsia="zh-CN"/>
              </w:rPr>
            </w:pPr>
            <w:r>
              <w:rPr>
                <w:rFonts w:eastAsia="Gulim"/>
                <w:b/>
                <w:bCs/>
                <w:color w:val="000000"/>
                <w:sz w:val="16"/>
                <w:szCs w:val="16"/>
                <w:highlight w:val="green"/>
                <w:shd w:val="clear" w:color="auto" w:fill="FFFF00"/>
                <w:lang w:eastAsia="zh-CN"/>
              </w:rPr>
              <w:t>A</w:t>
            </w:r>
            <w:r w:rsidRPr="00AE5862">
              <w:rPr>
                <w:rFonts w:eastAsia="Gulim"/>
                <w:b/>
                <w:bCs/>
                <w:color w:val="000000"/>
                <w:sz w:val="16"/>
                <w:szCs w:val="16"/>
                <w:highlight w:val="green"/>
                <w:shd w:val="clear" w:color="auto" w:fill="FFFF00"/>
                <w:lang w:eastAsia="zh-CN"/>
              </w:rPr>
              <w:t xml:space="preserve">greement </w:t>
            </w:r>
          </w:p>
          <w:p w14:paraId="06832AA4" w14:textId="77777777" w:rsidR="00AE5862" w:rsidRPr="00AE5862" w:rsidRDefault="00AE5862" w:rsidP="00AE5862">
            <w:pPr>
              <w:numPr>
                <w:ilvl w:val="0"/>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For HD-FDD, reuse the same principle as Rel-15/16 UE not capable of full-duplex communication</w:t>
            </w:r>
          </w:p>
          <w:p w14:paraId="710787A1"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A HD-FDD UE is not expected to transmit in the uplink earlier than </w:t>
            </w:r>
            <w:r w:rsidRPr="00AE5862">
              <w:rPr>
                <w:rFonts w:eastAsia="Gulim"/>
                <w:i/>
                <w:iCs/>
                <w:color w:val="000000"/>
                <w:sz w:val="16"/>
                <w:szCs w:val="16"/>
                <w:lang w:eastAsia="zh-CN"/>
              </w:rPr>
              <w:t>N</w:t>
            </w:r>
            <w:r w:rsidRPr="00AE5862">
              <w:rPr>
                <w:rFonts w:eastAsia="Gulim"/>
                <w:i/>
                <w:iCs/>
                <w:color w:val="000000"/>
                <w:sz w:val="16"/>
                <w:szCs w:val="16"/>
                <w:vertAlign w:val="subscript"/>
                <w:lang w:eastAsia="zh-CN"/>
              </w:rPr>
              <w:t>RX-TX</w:t>
            </w:r>
            <w:r w:rsidRPr="00AE5862">
              <w:rPr>
                <w:rFonts w:eastAsia="Gulim"/>
                <w:i/>
                <w:iCs/>
                <w:color w:val="000000"/>
                <w:sz w:val="16"/>
                <w:szCs w:val="16"/>
                <w:lang w:eastAsia="zh-CN"/>
              </w:rPr>
              <w:t> T</w:t>
            </w:r>
            <w:r w:rsidRPr="00AE5862">
              <w:rPr>
                <w:rFonts w:eastAsia="Gulim"/>
                <w:i/>
                <w:iCs/>
                <w:color w:val="000000"/>
                <w:sz w:val="16"/>
                <w:szCs w:val="16"/>
                <w:vertAlign w:val="subscript"/>
                <w:lang w:eastAsia="zh-CN"/>
              </w:rPr>
              <w:t>c</w:t>
            </w:r>
            <w:r w:rsidRPr="00AE5862">
              <w:rPr>
                <w:rFonts w:eastAsia="Gulim"/>
                <w:color w:val="000000"/>
                <w:sz w:val="16"/>
                <w:szCs w:val="16"/>
                <w:lang w:eastAsia="zh-CN"/>
              </w:rPr>
              <w:t> after the end of the last received downlink symbol in the same cell</w:t>
            </w:r>
          </w:p>
          <w:p w14:paraId="48EB1FDF"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A HD-FDD UE is not expected to receive in the downlink earlier than </w:t>
            </w:r>
            <w:r w:rsidRPr="00AE5862">
              <w:rPr>
                <w:rFonts w:eastAsia="Gulim"/>
                <w:i/>
                <w:iCs/>
                <w:color w:val="000000"/>
                <w:sz w:val="16"/>
                <w:szCs w:val="16"/>
                <w:lang w:eastAsia="zh-CN"/>
              </w:rPr>
              <w:t>N</w:t>
            </w:r>
            <w:r w:rsidRPr="00AE5862">
              <w:rPr>
                <w:rFonts w:eastAsia="Gulim"/>
                <w:i/>
                <w:iCs/>
                <w:color w:val="000000"/>
                <w:sz w:val="16"/>
                <w:szCs w:val="16"/>
                <w:vertAlign w:val="subscript"/>
                <w:lang w:eastAsia="zh-CN"/>
              </w:rPr>
              <w:t>TX-RX</w:t>
            </w:r>
            <w:r w:rsidRPr="00AE5862">
              <w:rPr>
                <w:rFonts w:eastAsia="Gulim"/>
                <w:i/>
                <w:iCs/>
                <w:color w:val="000000"/>
                <w:sz w:val="16"/>
                <w:szCs w:val="16"/>
                <w:lang w:eastAsia="zh-CN"/>
              </w:rPr>
              <w:t> T</w:t>
            </w:r>
            <w:r w:rsidRPr="00AE5862">
              <w:rPr>
                <w:rFonts w:eastAsia="Gulim"/>
                <w:i/>
                <w:iCs/>
                <w:color w:val="000000"/>
                <w:sz w:val="16"/>
                <w:szCs w:val="16"/>
                <w:vertAlign w:val="subscript"/>
                <w:lang w:eastAsia="zh-CN"/>
              </w:rPr>
              <w:t>c</w:t>
            </w:r>
            <w:r w:rsidRPr="00AE5862">
              <w:rPr>
                <w:rFonts w:eastAsia="Gulim"/>
                <w:color w:val="000000"/>
                <w:sz w:val="16"/>
                <w:szCs w:val="16"/>
                <w:lang w:eastAsia="zh-CN"/>
              </w:rPr>
              <w:t> after the end of the last transmitted uplink symbol in the same cell</w:t>
            </w:r>
          </w:p>
          <w:p w14:paraId="7F328380"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szCs w:val="16"/>
                <w:lang w:val="en-US" w:eastAsia="zh-CN"/>
              </w:rPr>
            </w:pPr>
            <w:r w:rsidRPr="00AE5862">
              <w:rPr>
                <w:rFonts w:eastAsia="Gulim"/>
                <w:i/>
                <w:iCs/>
                <w:sz w:val="16"/>
                <w:szCs w:val="16"/>
                <w:lang w:eastAsia="zh-CN"/>
              </w:rPr>
              <w:t>N</w:t>
            </w:r>
            <w:r w:rsidRPr="00AE5862">
              <w:rPr>
                <w:rFonts w:eastAsia="Gulim"/>
                <w:i/>
                <w:iCs/>
                <w:sz w:val="16"/>
                <w:szCs w:val="16"/>
                <w:vertAlign w:val="subscript"/>
                <w:lang w:eastAsia="zh-CN"/>
              </w:rPr>
              <w:t>RX-TX</w:t>
            </w:r>
            <w:r w:rsidRPr="00AE5862">
              <w:rPr>
                <w:rFonts w:eastAsia="Gulim"/>
                <w:i/>
                <w:iCs/>
                <w:sz w:val="16"/>
                <w:szCs w:val="16"/>
                <w:lang w:eastAsia="zh-CN"/>
              </w:rPr>
              <w:t> T</w:t>
            </w:r>
            <w:r w:rsidRPr="00AE5862">
              <w:rPr>
                <w:rFonts w:eastAsia="Gulim"/>
                <w:i/>
                <w:iCs/>
                <w:sz w:val="16"/>
                <w:szCs w:val="16"/>
                <w:vertAlign w:val="subscript"/>
                <w:lang w:eastAsia="zh-CN"/>
              </w:rPr>
              <w:t>c</w:t>
            </w:r>
            <w:r w:rsidRPr="00AE5862">
              <w:rPr>
                <w:rFonts w:eastAsia="Gulim"/>
                <w:sz w:val="16"/>
                <w:szCs w:val="16"/>
                <w:lang w:eastAsia="zh-CN"/>
              </w:rPr>
              <w:t> and </w:t>
            </w:r>
            <w:r w:rsidRPr="00AE5862">
              <w:rPr>
                <w:rFonts w:eastAsia="Gulim"/>
                <w:i/>
                <w:iCs/>
                <w:sz w:val="16"/>
                <w:szCs w:val="16"/>
                <w:lang w:eastAsia="zh-CN"/>
              </w:rPr>
              <w:t>N</w:t>
            </w:r>
            <w:r w:rsidRPr="00AE5862">
              <w:rPr>
                <w:rFonts w:eastAsia="Gulim"/>
                <w:i/>
                <w:iCs/>
                <w:sz w:val="16"/>
                <w:szCs w:val="16"/>
                <w:vertAlign w:val="subscript"/>
                <w:lang w:eastAsia="zh-CN"/>
              </w:rPr>
              <w:t>TX-RX</w:t>
            </w:r>
            <w:r w:rsidRPr="00AE5862">
              <w:rPr>
                <w:rFonts w:eastAsia="Gulim"/>
                <w:i/>
                <w:iCs/>
                <w:sz w:val="16"/>
                <w:szCs w:val="16"/>
                <w:lang w:eastAsia="zh-CN"/>
              </w:rPr>
              <w:t> T</w:t>
            </w:r>
            <w:r w:rsidRPr="00AE5862">
              <w:rPr>
                <w:rFonts w:eastAsia="Gulim"/>
                <w:i/>
                <w:iCs/>
                <w:sz w:val="16"/>
                <w:szCs w:val="16"/>
                <w:vertAlign w:val="subscript"/>
                <w:lang w:eastAsia="zh-CN"/>
              </w:rPr>
              <w:t>c</w:t>
            </w:r>
            <w:r w:rsidRPr="00AE5862">
              <w:rPr>
                <w:rFonts w:eastAsia="Gulim"/>
                <w:sz w:val="16"/>
                <w:szCs w:val="16"/>
                <w:lang w:eastAsia="zh-CN"/>
              </w:rPr>
              <w:t> are the same as the transition time for FR1 in Table 4.3.2-3, TS 38.211 for a UE not capable of full-duplex communication</w:t>
            </w:r>
          </w:p>
          <w:p w14:paraId="4FEBCF5E" w14:textId="77777777" w:rsidR="00AE5862" w:rsidRPr="00AE5862" w:rsidRDefault="00AE5862" w:rsidP="00AE5862">
            <w:pPr>
              <w:numPr>
                <w:ilvl w:val="0"/>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(Working Assumption) The “back-to-back” non-overlapping UL/DL without sufficient gap between RRC configured UL and DL may happen, i.e., are allowed for HD-FDD UEs.</w:t>
            </w:r>
          </w:p>
          <w:p w14:paraId="247F2B62"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RRC configured DL/UL includes at least cell specific higher layer parameters configured DL/UL</w:t>
            </w:r>
          </w:p>
          <w:p w14:paraId="3DB00719"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 xml:space="preserve">Discuss further whether to specify a clear UE </w:t>
            </w:r>
            <w:proofErr w:type="spellStart"/>
            <w:r w:rsidRPr="00AE5862">
              <w:rPr>
                <w:rFonts w:eastAsia="Gulim"/>
                <w:color w:val="000000"/>
                <w:sz w:val="16"/>
                <w:szCs w:val="16"/>
                <w:lang w:eastAsia="zh-CN"/>
              </w:rPr>
              <w:t>behavior</w:t>
            </w:r>
            <w:proofErr w:type="spellEnd"/>
            <w:r w:rsidRPr="00AE5862">
              <w:rPr>
                <w:rFonts w:eastAsia="Gulim"/>
                <w:color w:val="000000"/>
                <w:sz w:val="16"/>
                <w:szCs w:val="16"/>
                <w:lang w:eastAsia="zh-CN"/>
              </w:rPr>
              <w:t>, or leave it to UE implementation to ensure that the switching time is satisfied</w:t>
            </w:r>
          </w:p>
          <w:p w14:paraId="250D2246"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Note: This does not mean a HD-FDD UE is required to support the back-to-back UL/DL switching without sufficient gap</w:t>
            </w:r>
          </w:p>
          <w:p w14:paraId="5485286B" w14:textId="39A7E6C9" w:rsidR="00327CA0" w:rsidRPr="008D7566" w:rsidRDefault="00327CA0" w:rsidP="00327CA0">
            <w:pPr>
              <w:spacing w:before="0" w:after="0"/>
              <w:textAlignment w:val="baseline"/>
              <w:rPr>
                <w:lang w:val="en-US"/>
              </w:rPr>
            </w:pPr>
          </w:p>
        </w:tc>
      </w:tr>
    </w:tbl>
    <w:p w14:paraId="0E0C91D7" w14:textId="55801BDE" w:rsidR="00F94575" w:rsidRDefault="00F34358" w:rsidP="00F94575">
      <w:pPr>
        <w:pStyle w:val="Heading1"/>
        <w:rPr>
          <w:sz w:val="40"/>
          <w:szCs w:val="22"/>
          <w:lang w:val="en-US"/>
        </w:rPr>
      </w:pPr>
      <w:r>
        <w:rPr>
          <w:sz w:val="40"/>
          <w:szCs w:val="22"/>
          <w:lang w:val="en-US"/>
        </w:rPr>
        <w:lastRenderedPageBreak/>
        <w:t>Remaining open issues</w:t>
      </w:r>
    </w:p>
    <w:p w14:paraId="711BFEC0" w14:textId="2ED5E43F" w:rsidR="00306B96" w:rsidRDefault="00306B96" w:rsidP="00F34358">
      <w:pPr>
        <w:rPr>
          <w:lang w:val="en-US"/>
        </w:rPr>
      </w:pPr>
      <w:r>
        <w:rPr>
          <w:lang w:val="en-US"/>
        </w:rPr>
        <w:t xml:space="preserve">Case </w:t>
      </w:r>
      <w:r w:rsidR="00670DFE">
        <w:rPr>
          <w:lang w:val="en-US"/>
        </w:rPr>
        <w:t xml:space="preserve">5 and 8 </w:t>
      </w:r>
      <w:r w:rsidR="00AA2145">
        <w:rPr>
          <w:lang w:val="en-US"/>
        </w:rPr>
        <w:t xml:space="preserve">both </w:t>
      </w:r>
      <w:r w:rsidR="00670DFE">
        <w:rPr>
          <w:lang w:val="en-US"/>
        </w:rPr>
        <w:t>require down-selection.</w:t>
      </w:r>
    </w:p>
    <w:p w14:paraId="1806D91B" w14:textId="4701F359" w:rsidR="008648F9" w:rsidRDefault="008648F9" w:rsidP="008648F9">
      <w:pPr>
        <w:pStyle w:val="Heading2"/>
        <w:rPr>
          <w:lang w:val="en-US"/>
        </w:rPr>
      </w:pPr>
      <w:r>
        <w:rPr>
          <w:lang w:val="en-US"/>
        </w:rPr>
        <w:t xml:space="preserve">Case </w:t>
      </w:r>
      <w:r w:rsidR="009F397D">
        <w:rPr>
          <w:lang w:val="en-US"/>
        </w:rPr>
        <w:t>5</w:t>
      </w:r>
    </w:p>
    <w:p w14:paraId="30E17B38" w14:textId="0A196C5A" w:rsidR="009F397D" w:rsidRDefault="00D52212" w:rsidP="009F397D">
      <w:pPr>
        <w:rPr>
          <w:lang w:val="en-US"/>
        </w:rPr>
      </w:pPr>
      <w:r>
        <w:rPr>
          <w:lang w:val="en-US"/>
        </w:rPr>
        <w:t xml:space="preserve">As </w:t>
      </w:r>
      <w:r w:rsidR="00E665F3">
        <w:rPr>
          <w:lang w:val="en-US"/>
        </w:rPr>
        <w:t xml:space="preserve">pointed out also </w:t>
      </w:r>
      <w:r>
        <w:rPr>
          <w:lang w:val="en-US"/>
        </w:rPr>
        <w:t>by other companies</w:t>
      </w:r>
      <w:r w:rsidR="00E665F3">
        <w:rPr>
          <w:lang w:val="en-US"/>
        </w:rPr>
        <w:t xml:space="preserve"> in </w:t>
      </w:r>
      <w:r w:rsidR="00D04E6C">
        <w:rPr>
          <w:lang w:val="en-US"/>
        </w:rPr>
        <w:t>previous meetings</w:t>
      </w:r>
      <w:r>
        <w:rPr>
          <w:lang w:val="en-US"/>
        </w:rPr>
        <w:t xml:space="preserve">, R15 </w:t>
      </w:r>
      <w:r w:rsidR="00A46E05">
        <w:rPr>
          <w:lang w:val="en-US"/>
        </w:rPr>
        <w:t xml:space="preserve">baseline implementation is </w:t>
      </w:r>
      <w:proofErr w:type="gramStart"/>
      <w:r w:rsidR="00A46E05">
        <w:rPr>
          <w:lang w:val="en-US"/>
        </w:rPr>
        <w:t>based on the fact that</w:t>
      </w:r>
      <w:proofErr w:type="gramEnd"/>
      <w:r w:rsidR="00A46E05">
        <w:rPr>
          <w:lang w:val="en-US"/>
        </w:rPr>
        <w:t xml:space="preserve"> SSB is present within active BWP in RRC connected. </w:t>
      </w:r>
      <w:r w:rsidR="003B6379">
        <w:rPr>
          <w:lang w:val="en-US"/>
        </w:rPr>
        <w:t xml:space="preserve">A UE should </w:t>
      </w:r>
      <w:r w:rsidR="00E9508B">
        <w:rPr>
          <w:lang w:val="en-US"/>
        </w:rPr>
        <w:t>always have</w:t>
      </w:r>
      <w:r w:rsidR="00B91922">
        <w:rPr>
          <w:lang w:val="en-US"/>
        </w:rPr>
        <w:t xml:space="preserve"> possibility to read SSB</w:t>
      </w:r>
      <w:r w:rsidR="0015346E">
        <w:rPr>
          <w:lang w:val="en-US"/>
        </w:rPr>
        <w:t xml:space="preserve">. </w:t>
      </w:r>
      <w:r w:rsidR="00494019">
        <w:rPr>
          <w:lang w:val="en-US"/>
        </w:rPr>
        <w:t xml:space="preserve">Further, having the same behavior for HD TDD and HD FDD </w:t>
      </w:r>
      <w:r w:rsidR="00181BDC">
        <w:rPr>
          <w:lang w:val="en-US"/>
        </w:rPr>
        <w:t>simplifies RedCap UE design which is the main KPI</w:t>
      </w:r>
      <w:r w:rsidR="00792E06">
        <w:rPr>
          <w:lang w:val="en-US"/>
        </w:rPr>
        <w:t xml:space="preserve"> </w:t>
      </w:r>
      <w:r w:rsidR="004E0337">
        <w:rPr>
          <w:lang w:val="en-US"/>
        </w:rPr>
        <w:t>of the RedCap</w:t>
      </w:r>
      <w:r w:rsidR="00181BDC">
        <w:rPr>
          <w:lang w:val="en-US"/>
        </w:rPr>
        <w:t>.</w:t>
      </w:r>
      <w:r w:rsidR="00494019">
        <w:rPr>
          <w:lang w:val="en-US"/>
        </w:rPr>
        <w:t xml:space="preserve"> </w:t>
      </w:r>
      <w:r w:rsidR="001A2C65">
        <w:rPr>
          <w:lang w:val="en-US"/>
        </w:rPr>
        <w:t xml:space="preserve">Finally, </w:t>
      </w:r>
      <w:r w:rsidR="005D1AA5">
        <w:rPr>
          <w:lang w:val="en-US"/>
        </w:rPr>
        <w:t xml:space="preserve">collisions of SSB with </w:t>
      </w:r>
      <w:r w:rsidR="00331939">
        <w:rPr>
          <w:lang w:val="en-US"/>
        </w:rPr>
        <w:t>configured</w:t>
      </w:r>
      <w:r w:rsidR="005D1AA5">
        <w:rPr>
          <w:lang w:val="en-US"/>
        </w:rPr>
        <w:t xml:space="preserve"> UL transmissions</w:t>
      </w:r>
      <w:r w:rsidR="00DF6757">
        <w:rPr>
          <w:lang w:val="en-US"/>
        </w:rPr>
        <w:t xml:space="preserve"> </w:t>
      </w:r>
      <w:r w:rsidR="006E5D76">
        <w:rPr>
          <w:lang w:val="en-US"/>
        </w:rPr>
        <w:t>has been agreed to follow Option 2</w:t>
      </w:r>
      <w:r w:rsidR="005D1AA5">
        <w:rPr>
          <w:lang w:val="en-US"/>
        </w:rPr>
        <w:t xml:space="preserve">. </w:t>
      </w:r>
      <w:r w:rsidR="00B91922">
        <w:rPr>
          <w:lang w:val="en-US"/>
        </w:rPr>
        <w:t xml:space="preserve">Therefore, </w:t>
      </w:r>
      <w:r w:rsidR="00A73B3D">
        <w:rPr>
          <w:lang w:val="en-US"/>
        </w:rPr>
        <w:t xml:space="preserve">we suggest </w:t>
      </w:r>
      <w:r w:rsidR="00C413DB">
        <w:rPr>
          <w:lang w:val="en-US"/>
        </w:rPr>
        <w:t>agreeing</w:t>
      </w:r>
      <w:r w:rsidR="000642F3">
        <w:rPr>
          <w:lang w:val="en-US"/>
        </w:rPr>
        <w:t xml:space="preserve"> on </w:t>
      </w:r>
      <w:r w:rsidR="00344BDB">
        <w:rPr>
          <w:lang w:val="en-US"/>
        </w:rPr>
        <w:t>Option 2</w:t>
      </w:r>
      <w:r w:rsidR="00D55654">
        <w:rPr>
          <w:lang w:val="en-US"/>
        </w:rPr>
        <w:t>.</w:t>
      </w:r>
      <w:r w:rsidR="00331939">
        <w:rPr>
          <w:lang w:val="en-US"/>
        </w:rPr>
        <w:t xml:space="preserve"> </w:t>
      </w:r>
      <w:r w:rsidR="00980C2D">
        <w:rPr>
          <w:lang w:val="en-US"/>
        </w:rPr>
        <w:t xml:space="preserve">However, </w:t>
      </w:r>
      <w:r w:rsidR="00062003">
        <w:rPr>
          <w:lang w:val="en-US"/>
        </w:rPr>
        <w:t xml:space="preserve">as part of compromise, we would be fine with </w:t>
      </w:r>
      <w:r w:rsidR="00744D94">
        <w:rPr>
          <w:lang w:val="en-US"/>
        </w:rPr>
        <w:t xml:space="preserve">having behavior dependent on </w:t>
      </w:r>
      <w:r w:rsidR="00A766FA">
        <w:rPr>
          <w:lang w:val="en-US"/>
        </w:rPr>
        <w:t>UE supporting operation without SSB or not.</w:t>
      </w:r>
      <w:r w:rsidR="00744D94">
        <w:rPr>
          <w:lang w:val="en-US"/>
        </w:rPr>
        <w:t xml:space="preserve">  </w:t>
      </w:r>
      <w:r w:rsidR="00D55654">
        <w:rPr>
          <w:lang w:val="en-US"/>
        </w:rPr>
        <w:t xml:space="preserve"> </w:t>
      </w:r>
    </w:p>
    <w:p w14:paraId="7E1B210B" w14:textId="4B6F98C2" w:rsidR="00D55654" w:rsidRDefault="00D55654" w:rsidP="009F397D">
      <w:pPr>
        <w:rPr>
          <w:i/>
          <w:iCs/>
          <w:lang w:val="en-US"/>
        </w:rPr>
      </w:pPr>
      <w:r w:rsidRPr="00E665F3">
        <w:rPr>
          <w:b/>
          <w:bCs/>
          <w:i/>
          <w:iCs/>
          <w:lang w:val="en-US"/>
        </w:rPr>
        <w:t>Proposal</w:t>
      </w:r>
      <w:r w:rsidR="00F830A8">
        <w:rPr>
          <w:b/>
          <w:bCs/>
          <w:i/>
          <w:iCs/>
          <w:lang w:val="en-US"/>
        </w:rPr>
        <w:t>-</w:t>
      </w:r>
      <w:r w:rsidR="00DF6757">
        <w:rPr>
          <w:b/>
          <w:bCs/>
          <w:i/>
          <w:iCs/>
          <w:lang w:val="en-US"/>
        </w:rPr>
        <w:t>1</w:t>
      </w:r>
      <w:r w:rsidRPr="00E665F3">
        <w:rPr>
          <w:b/>
          <w:bCs/>
          <w:i/>
          <w:iCs/>
          <w:lang w:val="en-US"/>
        </w:rPr>
        <w:t>:</w:t>
      </w:r>
      <w:r w:rsidR="00AF4AD7">
        <w:rPr>
          <w:b/>
          <w:bCs/>
          <w:i/>
          <w:iCs/>
          <w:lang w:val="en-US"/>
        </w:rPr>
        <w:t xml:space="preserve"> </w:t>
      </w:r>
      <w:r w:rsidR="00AF4AD7" w:rsidRPr="00AF4AD7">
        <w:rPr>
          <w:i/>
          <w:iCs/>
          <w:lang w:val="en-US"/>
        </w:rPr>
        <w:t>For Case 5 of dynamically scheduled UL transmission vs. SSB,</w:t>
      </w:r>
      <w:r w:rsidRPr="00E665F3">
        <w:rPr>
          <w:i/>
          <w:iCs/>
          <w:lang w:val="en-US"/>
        </w:rPr>
        <w:t xml:space="preserve"> </w:t>
      </w:r>
      <w:r w:rsidR="00E665F3" w:rsidRPr="00E665F3">
        <w:rPr>
          <w:i/>
          <w:iCs/>
          <w:lang w:val="en-US"/>
        </w:rPr>
        <w:t>adopt Option 2 (</w:t>
      </w:r>
      <w:r w:rsidR="00953B1B">
        <w:rPr>
          <w:i/>
          <w:iCs/>
          <w:lang w:val="en-US"/>
        </w:rPr>
        <w:t xml:space="preserve">reuse </w:t>
      </w:r>
      <w:r w:rsidR="00232A16">
        <w:rPr>
          <w:i/>
          <w:iCs/>
          <w:lang w:val="en-US"/>
        </w:rPr>
        <w:t xml:space="preserve">current </w:t>
      </w:r>
      <w:r w:rsidR="00953B1B">
        <w:rPr>
          <w:i/>
          <w:iCs/>
          <w:lang w:val="en-US"/>
        </w:rPr>
        <w:t>spec</w:t>
      </w:r>
      <w:r w:rsidR="00232A16">
        <w:rPr>
          <w:i/>
          <w:iCs/>
          <w:lang w:val="en-US"/>
        </w:rPr>
        <w:t>ification</w:t>
      </w:r>
      <w:r w:rsidR="00953B1B">
        <w:rPr>
          <w:i/>
          <w:iCs/>
          <w:lang w:val="en-US"/>
        </w:rPr>
        <w:t xml:space="preserve"> for TDD</w:t>
      </w:r>
      <w:r w:rsidR="00E665F3" w:rsidRPr="00E665F3">
        <w:rPr>
          <w:i/>
          <w:iCs/>
          <w:lang w:val="en-US"/>
        </w:rPr>
        <w:t xml:space="preserve">) </w:t>
      </w:r>
      <w:r w:rsidR="00181BDC">
        <w:rPr>
          <w:i/>
          <w:iCs/>
          <w:lang w:val="en-US"/>
        </w:rPr>
        <w:t xml:space="preserve">for </w:t>
      </w:r>
      <w:r w:rsidR="00166A03">
        <w:rPr>
          <w:i/>
          <w:iCs/>
          <w:lang w:val="en-US"/>
        </w:rPr>
        <w:t xml:space="preserve">dynamic </w:t>
      </w:r>
      <w:r w:rsidR="00E665F3" w:rsidRPr="00E665F3">
        <w:rPr>
          <w:i/>
          <w:iCs/>
          <w:lang w:val="en-US"/>
        </w:rPr>
        <w:t>UL.</w:t>
      </w:r>
      <w:r w:rsidR="00AE5862">
        <w:rPr>
          <w:i/>
          <w:iCs/>
          <w:lang w:val="en-US"/>
        </w:rPr>
        <w:t xml:space="preserve"> Alternatively</w:t>
      </w:r>
      <w:r w:rsidR="006F22A0">
        <w:rPr>
          <w:i/>
          <w:iCs/>
          <w:lang w:val="en-US"/>
        </w:rPr>
        <w:t xml:space="preserve">, make behavior dependent on </w:t>
      </w:r>
      <w:r w:rsidR="00B87D99">
        <w:rPr>
          <w:i/>
          <w:iCs/>
          <w:lang w:val="en-US"/>
        </w:rPr>
        <w:t>FG</w:t>
      </w:r>
      <w:r w:rsidR="006F22A0">
        <w:rPr>
          <w:i/>
          <w:iCs/>
          <w:lang w:val="en-US"/>
        </w:rPr>
        <w:t>6-1A</w:t>
      </w:r>
      <w:r w:rsidR="00744D94">
        <w:rPr>
          <w:i/>
          <w:iCs/>
          <w:lang w:val="en-US"/>
        </w:rPr>
        <w:t>-like</w:t>
      </w:r>
      <w:r w:rsidR="006F22A0">
        <w:rPr>
          <w:i/>
          <w:iCs/>
          <w:lang w:val="en-US"/>
        </w:rPr>
        <w:t xml:space="preserve"> capability.</w:t>
      </w:r>
    </w:p>
    <w:p w14:paraId="7AA21EF8" w14:textId="21454ABF" w:rsidR="006F22A0" w:rsidRDefault="006F22A0" w:rsidP="006F22A0">
      <w:pPr>
        <w:pStyle w:val="Heading2"/>
        <w:rPr>
          <w:lang w:val="en-US"/>
        </w:rPr>
      </w:pPr>
      <w:r>
        <w:rPr>
          <w:lang w:val="en-US"/>
        </w:rPr>
        <w:t xml:space="preserve">Back-to-back </w:t>
      </w:r>
      <w:r w:rsidR="00AE57EF">
        <w:rPr>
          <w:lang w:val="en-US"/>
        </w:rPr>
        <w:t>transmission with</w:t>
      </w:r>
      <w:r w:rsidR="005153A7">
        <w:rPr>
          <w:lang w:val="en-US"/>
        </w:rPr>
        <w:t>out</w:t>
      </w:r>
      <w:r w:rsidR="00AE57EF">
        <w:rPr>
          <w:lang w:val="en-US"/>
        </w:rPr>
        <w:t xml:space="preserve"> gap</w:t>
      </w:r>
    </w:p>
    <w:p w14:paraId="13298D8D" w14:textId="6E3A52FB" w:rsidR="00AE5862" w:rsidRPr="00AE57EF" w:rsidRDefault="00AE57EF" w:rsidP="009F397D">
      <w:pPr>
        <w:rPr>
          <w:lang w:val="en-US"/>
        </w:rPr>
      </w:pPr>
      <w:r>
        <w:rPr>
          <w:lang w:val="en-US"/>
        </w:rPr>
        <w:t>We have the following working assumption agreed in RAN1#107:</w:t>
      </w:r>
    </w:p>
    <w:tbl>
      <w:tblPr>
        <w:tblStyle w:val="TableGrid"/>
        <w:tblW w:w="0" w:type="auto"/>
        <w:tblLook w:val="04A0" w:firstRow="1" w:lastRow="0" w:firstColumn="1" w:lastColumn="0" w:noHBand="0" w:noVBand="1"/>
      </w:tblPr>
      <w:tblGrid>
        <w:gridCol w:w="9629"/>
      </w:tblGrid>
      <w:tr w:rsidR="00AE5862" w14:paraId="2BF2C83F" w14:textId="77777777" w:rsidTr="00AE5862">
        <w:tc>
          <w:tcPr>
            <w:tcW w:w="9629" w:type="dxa"/>
          </w:tcPr>
          <w:p w14:paraId="1BF8D38F" w14:textId="77777777" w:rsidR="00AE5862" w:rsidRPr="00AE5862" w:rsidRDefault="00AE5862" w:rsidP="00AE5862">
            <w:pPr>
              <w:numPr>
                <w:ilvl w:val="0"/>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(Working Assumption) The “back-to-back” non-overlapping UL/DL without sufficient gap between RRC configured UL and DL may happen, i.e., are allowed for HD-FDD UEs.</w:t>
            </w:r>
          </w:p>
          <w:p w14:paraId="33D8D10B"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RRC configured DL/UL includes at least cell specific higher layer parameters configured DL/UL</w:t>
            </w:r>
          </w:p>
          <w:p w14:paraId="1FD86066" w14:textId="77777777" w:rsidR="00AE5862" w:rsidRPr="00A8007B" w:rsidRDefault="00AE5862" w:rsidP="00AE5862">
            <w:pPr>
              <w:numPr>
                <w:ilvl w:val="1"/>
                <w:numId w:val="39"/>
              </w:numPr>
              <w:shd w:val="clear" w:color="auto" w:fill="FFFFFF"/>
              <w:spacing w:before="0" w:line="252" w:lineRule="atLeast"/>
              <w:jc w:val="both"/>
              <w:rPr>
                <w:rFonts w:ascii="Gulim" w:eastAsia="Gulim" w:hAnsi="Gulim" w:cs="SimSun"/>
                <w:color w:val="000000"/>
                <w:szCs w:val="16"/>
                <w:highlight w:val="yellow"/>
                <w:lang w:val="en-US" w:eastAsia="zh-CN"/>
              </w:rPr>
            </w:pPr>
            <w:r w:rsidRPr="00A8007B">
              <w:rPr>
                <w:rFonts w:eastAsia="Gulim"/>
                <w:color w:val="000000"/>
                <w:sz w:val="16"/>
                <w:szCs w:val="16"/>
                <w:highlight w:val="yellow"/>
                <w:lang w:eastAsia="zh-CN"/>
              </w:rPr>
              <w:t xml:space="preserve">Discuss further whether to specify a clear UE </w:t>
            </w:r>
            <w:proofErr w:type="spellStart"/>
            <w:r w:rsidRPr="00A8007B">
              <w:rPr>
                <w:rFonts w:eastAsia="Gulim"/>
                <w:color w:val="000000"/>
                <w:sz w:val="16"/>
                <w:szCs w:val="16"/>
                <w:highlight w:val="yellow"/>
                <w:lang w:eastAsia="zh-CN"/>
              </w:rPr>
              <w:t>behavior</w:t>
            </w:r>
            <w:proofErr w:type="spellEnd"/>
            <w:r w:rsidRPr="00A8007B">
              <w:rPr>
                <w:rFonts w:eastAsia="Gulim"/>
                <w:color w:val="000000"/>
                <w:sz w:val="16"/>
                <w:szCs w:val="16"/>
                <w:highlight w:val="yellow"/>
                <w:lang w:eastAsia="zh-CN"/>
              </w:rPr>
              <w:t>, or leave it to UE implementation to ensure that the switching time is satisfied</w:t>
            </w:r>
          </w:p>
          <w:p w14:paraId="4AF6F4E2" w14:textId="77777777" w:rsidR="00AE5862" w:rsidRPr="00AE5862" w:rsidRDefault="00AE5862" w:rsidP="00AE5862">
            <w:pPr>
              <w:numPr>
                <w:ilvl w:val="1"/>
                <w:numId w:val="39"/>
              </w:numPr>
              <w:shd w:val="clear" w:color="auto" w:fill="FFFFFF"/>
              <w:spacing w:before="0" w:line="252" w:lineRule="atLeast"/>
              <w:jc w:val="both"/>
              <w:rPr>
                <w:rFonts w:ascii="Gulim" w:eastAsia="Gulim" w:hAnsi="Gulim" w:cs="SimSun"/>
                <w:color w:val="000000"/>
                <w:szCs w:val="16"/>
                <w:lang w:val="en-US" w:eastAsia="zh-CN"/>
              </w:rPr>
            </w:pPr>
            <w:r w:rsidRPr="00AE5862">
              <w:rPr>
                <w:rFonts w:eastAsia="Gulim"/>
                <w:color w:val="000000"/>
                <w:sz w:val="16"/>
                <w:szCs w:val="16"/>
                <w:lang w:eastAsia="zh-CN"/>
              </w:rPr>
              <w:t>Note: This does not mean a HD-FDD UE is required to support the back-to-back UL/DL switching without sufficient gap</w:t>
            </w:r>
          </w:p>
          <w:p w14:paraId="7AA52113" w14:textId="77777777" w:rsidR="00AE5862" w:rsidRDefault="00AE5862" w:rsidP="009F397D">
            <w:pPr>
              <w:rPr>
                <w:i/>
                <w:iCs/>
                <w:lang w:val="en-US"/>
              </w:rPr>
            </w:pPr>
          </w:p>
        </w:tc>
      </w:tr>
    </w:tbl>
    <w:p w14:paraId="6AFAF728" w14:textId="7BF0EAAD" w:rsidR="00AE5862" w:rsidRDefault="00AE5862" w:rsidP="009F397D">
      <w:pPr>
        <w:rPr>
          <w:i/>
          <w:iCs/>
          <w:lang w:val="en-US"/>
        </w:rPr>
      </w:pPr>
    </w:p>
    <w:p w14:paraId="64E099CE" w14:textId="2FED8160" w:rsidR="00BC0D9D" w:rsidRDefault="00A8007B" w:rsidP="009F397D">
      <w:pPr>
        <w:rPr>
          <w:lang w:val="en-US"/>
        </w:rPr>
      </w:pPr>
      <w:r>
        <w:rPr>
          <w:lang w:val="en-US"/>
        </w:rPr>
        <w:t>As discussed already</w:t>
      </w:r>
      <w:r w:rsidR="00642D6A">
        <w:rPr>
          <w:lang w:val="en-US"/>
        </w:rPr>
        <w:t xml:space="preserve"> in RAN1</w:t>
      </w:r>
      <w:r>
        <w:rPr>
          <w:lang w:val="en-US"/>
        </w:rPr>
        <w:t>, cell specific</w:t>
      </w:r>
      <w:r w:rsidR="00AB4FDB">
        <w:rPr>
          <w:lang w:val="en-US"/>
        </w:rPr>
        <w:t xml:space="preserve"> configured</w:t>
      </w:r>
      <w:r>
        <w:rPr>
          <w:lang w:val="en-US"/>
        </w:rPr>
        <w:t xml:space="preserve"> signals</w:t>
      </w:r>
      <w:r w:rsidR="00AB4FDB">
        <w:rPr>
          <w:lang w:val="en-US"/>
        </w:rPr>
        <w:t>/occasions</w:t>
      </w:r>
      <w:r>
        <w:rPr>
          <w:lang w:val="en-US"/>
        </w:rPr>
        <w:t xml:space="preserve"> are </w:t>
      </w:r>
      <w:r w:rsidR="00DC022C">
        <w:rPr>
          <w:lang w:val="en-US"/>
        </w:rPr>
        <w:t>MSG</w:t>
      </w:r>
      <w:r w:rsidR="008A5FB4">
        <w:rPr>
          <w:lang w:val="en-US"/>
        </w:rPr>
        <w:t xml:space="preserve"> </w:t>
      </w:r>
      <w:r w:rsidR="00DC022C">
        <w:rPr>
          <w:lang w:val="en-US"/>
        </w:rPr>
        <w:t xml:space="preserve">1, </w:t>
      </w:r>
      <w:r w:rsidR="00F9386F">
        <w:rPr>
          <w:lang w:val="en-US"/>
        </w:rPr>
        <w:t>MSG</w:t>
      </w:r>
      <w:r w:rsidR="008A5FB4">
        <w:rPr>
          <w:lang w:val="en-US"/>
        </w:rPr>
        <w:t xml:space="preserve"> </w:t>
      </w:r>
      <w:r w:rsidR="00F9386F">
        <w:rPr>
          <w:lang w:val="en-US"/>
        </w:rPr>
        <w:t>A,</w:t>
      </w:r>
      <w:r w:rsidR="00DC022C">
        <w:rPr>
          <w:lang w:val="en-US"/>
        </w:rPr>
        <w:t xml:space="preserve"> TYPE0-2 PDCCH</w:t>
      </w:r>
      <w:r w:rsidR="00AC3B92">
        <w:rPr>
          <w:lang w:val="en-US"/>
        </w:rPr>
        <w:t>, SSB</w:t>
      </w:r>
      <w:r w:rsidR="00AB4FDB">
        <w:rPr>
          <w:lang w:val="en-US"/>
        </w:rPr>
        <w:t>.</w:t>
      </w:r>
      <w:r w:rsidR="002F6BDA">
        <w:rPr>
          <w:lang w:val="en-US"/>
        </w:rPr>
        <w:t xml:space="preserve"> </w:t>
      </w:r>
      <w:r w:rsidR="00AB4FDB">
        <w:rPr>
          <w:lang w:val="en-US"/>
        </w:rPr>
        <w:t>I</w:t>
      </w:r>
      <w:r w:rsidR="00032163">
        <w:rPr>
          <w:lang w:val="en-US"/>
        </w:rPr>
        <w:t xml:space="preserve">f UE is camping on a cell, </w:t>
      </w:r>
      <w:r w:rsidR="002F6BDA">
        <w:rPr>
          <w:lang w:val="en-US"/>
        </w:rPr>
        <w:t xml:space="preserve">it would read DL only. When UE performs </w:t>
      </w:r>
      <w:r w:rsidR="00C92181">
        <w:rPr>
          <w:lang w:val="en-US"/>
        </w:rPr>
        <w:t xml:space="preserve">random access, it monitors RAR in a window, and UE is not allowed to transmit </w:t>
      </w:r>
      <w:r w:rsidR="0002092A">
        <w:rPr>
          <w:lang w:val="en-US"/>
        </w:rPr>
        <w:t>MSG1/</w:t>
      </w:r>
      <w:r w:rsidR="00C92181">
        <w:rPr>
          <w:lang w:val="en-US"/>
        </w:rPr>
        <w:t xml:space="preserve">MSGA again </w:t>
      </w:r>
      <w:r w:rsidR="00900B54">
        <w:rPr>
          <w:lang w:val="en-US"/>
        </w:rPr>
        <w:t xml:space="preserve">during such window. From this point of view, we think </w:t>
      </w:r>
      <w:r w:rsidR="002A33E2">
        <w:rPr>
          <w:lang w:val="en-US"/>
        </w:rPr>
        <w:t xml:space="preserve">it would be sufficient to leave this to </w:t>
      </w:r>
      <w:r w:rsidR="00576365">
        <w:rPr>
          <w:lang w:val="en-US"/>
        </w:rPr>
        <w:t>UE implementation</w:t>
      </w:r>
      <w:r w:rsidR="00F5759D">
        <w:rPr>
          <w:lang w:val="en-US"/>
        </w:rPr>
        <w:t xml:space="preserve">. After RAR window, UE would delay sending PRACH </w:t>
      </w:r>
      <w:r w:rsidR="005C6835">
        <w:rPr>
          <w:lang w:val="en-US"/>
        </w:rPr>
        <w:t>if sufficient gap is not guaranteed.</w:t>
      </w:r>
      <w:r w:rsidR="00DB032E">
        <w:rPr>
          <w:lang w:val="en-US"/>
        </w:rPr>
        <w:t xml:space="preserve"> Regarding collision of RACH with SSB, </w:t>
      </w:r>
      <w:r w:rsidR="0074414F">
        <w:rPr>
          <w:lang w:val="en-US"/>
        </w:rPr>
        <w:t>this has been as well left up to implementation.</w:t>
      </w:r>
    </w:p>
    <w:p w14:paraId="08BD58A7" w14:textId="513E223C" w:rsidR="007B01F7" w:rsidRPr="00AA05B7" w:rsidRDefault="00BC0D9D" w:rsidP="009F397D">
      <w:pPr>
        <w:rPr>
          <w:i/>
          <w:iCs/>
          <w:lang w:val="en-US"/>
        </w:rPr>
      </w:pPr>
      <w:r w:rsidRPr="00AA05B7">
        <w:rPr>
          <w:b/>
          <w:bCs/>
          <w:i/>
          <w:iCs/>
          <w:lang w:val="en-US"/>
        </w:rPr>
        <w:t>Proposal</w:t>
      </w:r>
      <w:r w:rsidR="00EB69DF">
        <w:rPr>
          <w:b/>
          <w:bCs/>
          <w:i/>
          <w:iCs/>
          <w:lang w:val="en-US"/>
        </w:rPr>
        <w:t>-2</w:t>
      </w:r>
      <w:r w:rsidRPr="00AA05B7">
        <w:rPr>
          <w:b/>
          <w:bCs/>
          <w:i/>
          <w:iCs/>
          <w:lang w:val="en-US"/>
        </w:rPr>
        <w:t>:</w:t>
      </w:r>
      <w:r w:rsidRPr="00AA05B7">
        <w:rPr>
          <w:i/>
          <w:iCs/>
          <w:lang w:val="en-US"/>
        </w:rPr>
        <w:t xml:space="preserve"> </w:t>
      </w:r>
      <w:r w:rsidR="009F1376" w:rsidRPr="00AA05B7">
        <w:rPr>
          <w:i/>
          <w:iCs/>
          <w:lang w:val="en-US"/>
        </w:rPr>
        <w:t xml:space="preserve">Conclude that </w:t>
      </w:r>
      <w:r w:rsidR="00E91B53">
        <w:rPr>
          <w:i/>
          <w:iCs/>
          <w:lang w:val="en-US"/>
        </w:rPr>
        <w:t xml:space="preserve">case of </w:t>
      </w:r>
      <w:r w:rsidR="00B37A59" w:rsidRPr="00AA05B7">
        <w:rPr>
          <w:i/>
          <w:iCs/>
          <w:lang w:val="en-US"/>
        </w:rPr>
        <w:t>back-to-back cell-specific configured UL/DL</w:t>
      </w:r>
      <w:r w:rsidR="00495634" w:rsidRPr="00AA05B7">
        <w:rPr>
          <w:i/>
          <w:iCs/>
          <w:lang w:val="en-US"/>
        </w:rPr>
        <w:t xml:space="preserve"> without gap behavior is up to implementation</w:t>
      </w:r>
      <w:r w:rsidR="00E91B53">
        <w:rPr>
          <w:i/>
          <w:iCs/>
          <w:lang w:val="en-US"/>
        </w:rPr>
        <w:t>.</w:t>
      </w:r>
      <w:r w:rsidR="00495634" w:rsidRPr="00AA05B7">
        <w:rPr>
          <w:i/>
          <w:iCs/>
          <w:lang w:val="en-US"/>
        </w:rPr>
        <w:t xml:space="preserve"> </w:t>
      </w:r>
      <w:r w:rsidR="00B37A59" w:rsidRPr="00AA05B7">
        <w:rPr>
          <w:i/>
          <w:iCs/>
          <w:lang w:val="en-US"/>
        </w:rPr>
        <w:t xml:space="preserve"> </w:t>
      </w:r>
    </w:p>
    <w:p w14:paraId="0D827FAF" w14:textId="639ADBD0" w:rsidR="0034111C" w:rsidRDefault="00B3582D">
      <w:pPr>
        <w:pStyle w:val="Heading1"/>
        <w:rPr>
          <w:color w:val="000000" w:themeColor="text1"/>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6EF9CA5" w14:textId="4554A919" w:rsidR="006C0E8A" w:rsidRPr="006C0E8A" w:rsidRDefault="006C0E8A" w:rsidP="006C0E8A">
      <w:r>
        <w:t xml:space="preserve">We discussed </w:t>
      </w:r>
      <w:r w:rsidR="00971033">
        <w:t>remaining open issues on directional collisions of HD-FDD UE and we have the following observations and proposals:</w:t>
      </w:r>
    </w:p>
    <w:p w14:paraId="0E3CAD1A" w14:textId="77777777" w:rsidR="00970648" w:rsidRDefault="00970648" w:rsidP="00970648">
      <w:pPr>
        <w:rPr>
          <w:i/>
          <w:iCs/>
          <w:lang w:val="en-US"/>
        </w:rPr>
      </w:pPr>
      <w:r w:rsidRPr="00E665F3">
        <w:rPr>
          <w:b/>
          <w:bCs/>
          <w:i/>
          <w:iCs/>
          <w:lang w:val="en-US"/>
        </w:rPr>
        <w:t>Proposal</w:t>
      </w:r>
      <w:r>
        <w:rPr>
          <w:b/>
          <w:bCs/>
          <w:i/>
          <w:iCs/>
          <w:lang w:val="en-US"/>
        </w:rPr>
        <w:t>-1</w:t>
      </w:r>
      <w:r w:rsidRPr="00E665F3">
        <w:rPr>
          <w:b/>
          <w:bCs/>
          <w:i/>
          <w:iCs/>
          <w:lang w:val="en-US"/>
        </w:rPr>
        <w:t>:</w:t>
      </w:r>
      <w:r>
        <w:rPr>
          <w:b/>
          <w:bCs/>
          <w:i/>
          <w:iCs/>
          <w:lang w:val="en-US"/>
        </w:rPr>
        <w:t xml:space="preserve"> </w:t>
      </w:r>
      <w:r w:rsidRPr="00AF4AD7">
        <w:rPr>
          <w:i/>
          <w:iCs/>
          <w:lang w:val="en-US"/>
        </w:rPr>
        <w:t>For Case 5 of dynamically scheduled UL transmission vs. SSB,</w:t>
      </w:r>
      <w:r w:rsidRPr="00E665F3">
        <w:rPr>
          <w:i/>
          <w:iCs/>
          <w:lang w:val="en-US"/>
        </w:rPr>
        <w:t xml:space="preserve"> adopt Option 2 (</w:t>
      </w:r>
      <w:r>
        <w:rPr>
          <w:i/>
          <w:iCs/>
          <w:lang w:val="en-US"/>
        </w:rPr>
        <w:t>reuse current specification for TDD</w:t>
      </w:r>
      <w:r w:rsidRPr="00E665F3">
        <w:rPr>
          <w:i/>
          <w:iCs/>
          <w:lang w:val="en-US"/>
        </w:rPr>
        <w:t xml:space="preserve">) </w:t>
      </w:r>
      <w:r>
        <w:rPr>
          <w:i/>
          <w:iCs/>
          <w:lang w:val="en-US"/>
        </w:rPr>
        <w:t xml:space="preserve">for dynamic </w:t>
      </w:r>
      <w:r w:rsidRPr="00E665F3">
        <w:rPr>
          <w:i/>
          <w:iCs/>
          <w:lang w:val="en-US"/>
        </w:rPr>
        <w:t>UL.</w:t>
      </w:r>
      <w:r>
        <w:rPr>
          <w:i/>
          <w:iCs/>
          <w:lang w:val="en-US"/>
        </w:rPr>
        <w:t xml:space="preserve"> Alternatively, make behavior dependent on FG6-1A-like capability.</w:t>
      </w:r>
    </w:p>
    <w:p w14:paraId="48C96901" w14:textId="77777777" w:rsidR="00970648" w:rsidRPr="00AA05B7" w:rsidRDefault="00970648" w:rsidP="00970648">
      <w:pPr>
        <w:rPr>
          <w:i/>
          <w:iCs/>
          <w:lang w:val="en-US"/>
        </w:rPr>
      </w:pPr>
      <w:r w:rsidRPr="00AA05B7">
        <w:rPr>
          <w:b/>
          <w:bCs/>
          <w:i/>
          <w:iCs/>
          <w:lang w:val="en-US"/>
        </w:rPr>
        <w:t>Proposal</w:t>
      </w:r>
      <w:r>
        <w:rPr>
          <w:b/>
          <w:bCs/>
          <w:i/>
          <w:iCs/>
          <w:lang w:val="en-US"/>
        </w:rPr>
        <w:t>-2</w:t>
      </w:r>
      <w:r w:rsidRPr="00AA05B7">
        <w:rPr>
          <w:b/>
          <w:bCs/>
          <w:i/>
          <w:iCs/>
          <w:lang w:val="en-US"/>
        </w:rPr>
        <w:t>:</w:t>
      </w:r>
      <w:r w:rsidRPr="00AA05B7">
        <w:rPr>
          <w:i/>
          <w:iCs/>
          <w:lang w:val="en-US"/>
        </w:rPr>
        <w:t xml:space="preserve"> Conclude that </w:t>
      </w:r>
      <w:r>
        <w:rPr>
          <w:i/>
          <w:iCs/>
          <w:lang w:val="en-US"/>
        </w:rPr>
        <w:t xml:space="preserve">case of </w:t>
      </w:r>
      <w:r w:rsidRPr="00AA05B7">
        <w:rPr>
          <w:i/>
          <w:iCs/>
          <w:lang w:val="en-US"/>
        </w:rPr>
        <w:t>back-to-back cell-specific configured UL/DL without gap behavior is up to implementation</w:t>
      </w:r>
      <w:r>
        <w:rPr>
          <w:i/>
          <w:iCs/>
          <w:lang w:val="en-US"/>
        </w:rPr>
        <w:t>.</w:t>
      </w:r>
      <w:r w:rsidRPr="00AA05B7">
        <w:rPr>
          <w:i/>
          <w:iCs/>
          <w:lang w:val="en-US"/>
        </w:rPr>
        <w:t xml:space="preserve">  </w:t>
      </w:r>
    </w:p>
    <w:p w14:paraId="001DA083" w14:textId="5C729EFA" w:rsidR="00431F02" w:rsidRPr="00FC2F30" w:rsidRDefault="00431F02" w:rsidP="00314358">
      <w:pPr>
        <w:pStyle w:val="Heading1"/>
      </w:pPr>
      <w:r w:rsidRPr="00FC2F30">
        <w:t xml:space="preserve">References </w:t>
      </w:r>
    </w:p>
    <w:p w14:paraId="5A5F4FD0" w14:textId="753A3DB8" w:rsidR="00431F02" w:rsidRPr="00FC2F30" w:rsidRDefault="00FC2F30" w:rsidP="00431F02">
      <w:pPr>
        <w:numPr>
          <w:ilvl w:val="0"/>
          <w:numId w:val="1"/>
        </w:numPr>
        <w:tabs>
          <w:tab w:val="clear" w:pos="502"/>
          <w:tab w:val="num" w:pos="360"/>
        </w:tabs>
        <w:ind w:left="357"/>
        <w:rPr>
          <w:lang w:val="en-US"/>
        </w:rPr>
      </w:pPr>
      <w:r w:rsidRPr="00FC2F30">
        <w:rPr>
          <w:lang w:val="en-US"/>
        </w:rPr>
        <w:t>R1-2110610,</w:t>
      </w:r>
      <w:r w:rsidRPr="00FC2F30">
        <w:rPr>
          <w:lang w:val="en-US"/>
        </w:rPr>
        <w:tab/>
        <w:t>FL summary #5 on duplex operation for RedCap</w:t>
      </w:r>
      <w:r w:rsidRPr="00FC2F30">
        <w:rPr>
          <w:lang w:val="en-US"/>
        </w:rPr>
        <w:tab/>
        <w:t>Moderator (Qualcomm Inc.)</w:t>
      </w:r>
    </w:p>
    <w:p w14:paraId="63BA4FCA" w14:textId="490C8921" w:rsidR="00FC2F30" w:rsidRPr="00FC2F30" w:rsidRDefault="00FC2F30" w:rsidP="00FC2F30">
      <w:pPr>
        <w:shd w:val="clear" w:color="auto" w:fill="FFFFFF"/>
        <w:spacing w:before="0" w:after="0"/>
        <w:rPr>
          <w:rFonts w:ascii="Times" w:eastAsia="Batang" w:hAnsi="Times"/>
          <w:strike/>
          <w:szCs w:val="24"/>
        </w:rPr>
      </w:pPr>
    </w:p>
    <w:p w14:paraId="144DDC95" w14:textId="77777777" w:rsidR="00FC2F30" w:rsidRPr="00E91B53" w:rsidRDefault="00FC2F30" w:rsidP="00FC2F30">
      <w:pPr>
        <w:ind w:left="357"/>
        <w:rPr>
          <w:highlight w:val="yellow"/>
          <w:lang w:val="en-US"/>
        </w:rPr>
      </w:pPr>
    </w:p>
    <w:sectPr w:rsidR="00FC2F30" w:rsidRPr="00E91B5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DE8CE" w14:textId="77777777" w:rsidR="006A46AB" w:rsidRDefault="006A46AB">
      <w:r>
        <w:separator/>
      </w:r>
    </w:p>
  </w:endnote>
  <w:endnote w:type="continuationSeparator" w:id="0">
    <w:p w14:paraId="25006A8C" w14:textId="77777777" w:rsidR="006A46AB" w:rsidRDefault="006A46AB">
      <w:r>
        <w:continuationSeparator/>
      </w:r>
    </w:p>
  </w:endnote>
  <w:endnote w:type="continuationNotice" w:id="1">
    <w:p w14:paraId="6D5F441F" w14:textId="77777777" w:rsidR="006A46AB" w:rsidRDefault="006A4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12">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A83E0" w14:textId="77777777" w:rsidR="006A46AB" w:rsidRDefault="006A46AB">
      <w:r>
        <w:separator/>
      </w:r>
    </w:p>
  </w:footnote>
  <w:footnote w:type="continuationSeparator" w:id="0">
    <w:p w14:paraId="6B6C60FC" w14:textId="77777777" w:rsidR="006A46AB" w:rsidRDefault="006A46AB">
      <w:r>
        <w:continuationSeparator/>
      </w:r>
    </w:p>
  </w:footnote>
  <w:footnote w:type="continuationNotice" w:id="1">
    <w:p w14:paraId="7F503C42" w14:textId="77777777" w:rsidR="006A46AB" w:rsidRDefault="006A46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05FF"/>
    <w:multiLevelType w:val="hybridMultilevel"/>
    <w:tmpl w:val="7D9C2E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845"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3D5002"/>
    <w:multiLevelType w:val="hybridMultilevel"/>
    <w:tmpl w:val="64CEAE10"/>
    <w:lvl w:ilvl="0" w:tplc="4A5C3B6A">
      <w:start w:val="1"/>
      <w:numFmt w:val="bullet"/>
      <w:lvlText w:val=""/>
      <w:lvlJc w:val="left"/>
      <w:pPr>
        <w:tabs>
          <w:tab w:val="num" w:pos="720"/>
        </w:tabs>
        <w:ind w:left="720" w:hanging="360"/>
      </w:pPr>
      <w:rPr>
        <w:rFonts w:ascii="Symbol" w:hAnsi="Symbol" w:hint="default"/>
      </w:rPr>
    </w:lvl>
    <w:lvl w:ilvl="1" w:tplc="CE400AA8">
      <w:numFmt w:val="bullet"/>
      <w:lvlText w:val="o"/>
      <w:lvlJc w:val="left"/>
      <w:pPr>
        <w:tabs>
          <w:tab w:val="num" w:pos="1440"/>
        </w:tabs>
        <w:ind w:left="1440" w:hanging="360"/>
      </w:pPr>
      <w:rPr>
        <w:rFonts w:ascii="Courier New" w:hAnsi="Courier New" w:hint="default"/>
      </w:rPr>
    </w:lvl>
    <w:lvl w:ilvl="2" w:tplc="32569A66" w:tentative="1">
      <w:start w:val="1"/>
      <w:numFmt w:val="bullet"/>
      <w:lvlText w:val=""/>
      <w:lvlJc w:val="left"/>
      <w:pPr>
        <w:tabs>
          <w:tab w:val="num" w:pos="2160"/>
        </w:tabs>
        <w:ind w:left="2160" w:hanging="360"/>
      </w:pPr>
      <w:rPr>
        <w:rFonts w:ascii="Symbol" w:hAnsi="Symbol" w:hint="default"/>
      </w:rPr>
    </w:lvl>
    <w:lvl w:ilvl="3" w:tplc="E7B8180C" w:tentative="1">
      <w:start w:val="1"/>
      <w:numFmt w:val="bullet"/>
      <w:lvlText w:val=""/>
      <w:lvlJc w:val="left"/>
      <w:pPr>
        <w:tabs>
          <w:tab w:val="num" w:pos="2880"/>
        </w:tabs>
        <w:ind w:left="2880" w:hanging="360"/>
      </w:pPr>
      <w:rPr>
        <w:rFonts w:ascii="Symbol" w:hAnsi="Symbol" w:hint="default"/>
      </w:rPr>
    </w:lvl>
    <w:lvl w:ilvl="4" w:tplc="FFF63C70" w:tentative="1">
      <w:start w:val="1"/>
      <w:numFmt w:val="bullet"/>
      <w:lvlText w:val=""/>
      <w:lvlJc w:val="left"/>
      <w:pPr>
        <w:tabs>
          <w:tab w:val="num" w:pos="3600"/>
        </w:tabs>
        <w:ind w:left="3600" w:hanging="360"/>
      </w:pPr>
      <w:rPr>
        <w:rFonts w:ascii="Symbol" w:hAnsi="Symbol" w:hint="default"/>
      </w:rPr>
    </w:lvl>
    <w:lvl w:ilvl="5" w:tplc="229C3572" w:tentative="1">
      <w:start w:val="1"/>
      <w:numFmt w:val="bullet"/>
      <w:lvlText w:val=""/>
      <w:lvlJc w:val="left"/>
      <w:pPr>
        <w:tabs>
          <w:tab w:val="num" w:pos="4320"/>
        </w:tabs>
        <w:ind w:left="4320" w:hanging="360"/>
      </w:pPr>
      <w:rPr>
        <w:rFonts w:ascii="Symbol" w:hAnsi="Symbol" w:hint="default"/>
      </w:rPr>
    </w:lvl>
    <w:lvl w:ilvl="6" w:tplc="BEBCBD7E" w:tentative="1">
      <w:start w:val="1"/>
      <w:numFmt w:val="bullet"/>
      <w:lvlText w:val=""/>
      <w:lvlJc w:val="left"/>
      <w:pPr>
        <w:tabs>
          <w:tab w:val="num" w:pos="5040"/>
        </w:tabs>
        <w:ind w:left="5040" w:hanging="360"/>
      </w:pPr>
      <w:rPr>
        <w:rFonts w:ascii="Symbol" w:hAnsi="Symbol" w:hint="default"/>
      </w:rPr>
    </w:lvl>
    <w:lvl w:ilvl="7" w:tplc="20D28AE0" w:tentative="1">
      <w:start w:val="1"/>
      <w:numFmt w:val="bullet"/>
      <w:lvlText w:val=""/>
      <w:lvlJc w:val="left"/>
      <w:pPr>
        <w:tabs>
          <w:tab w:val="num" w:pos="5760"/>
        </w:tabs>
        <w:ind w:left="5760" w:hanging="360"/>
      </w:pPr>
      <w:rPr>
        <w:rFonts w:ascii="Symbol" w:hAnsi="Symbol" w:hint="default"/>
      </w:rPr>
    </w:lvl>
    <w:lvl w:ilvl="8" w:tplc="4D7E2A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5" w15:restartNumberingAfterBreak="0">
    <w:nsid w:val="36995769"/>
    <w:multiLevelType w:val="hybridMultilevel"/>
    <w:tmpl w:val="4F2CADC0"/>
    <w:lvl w:ilvl="0" w:tplc="0ADE43AE">
      <w:start w:val="1"/>
      <w:numFmt w:val="bullet"/>
      <w:lvlText w:val=""/>
      <w:lvlJc w:val="left"/>
      <w:pPr>
        <w:tabs>
          <w:tab w:val="num" w:pos="720"/>
        </w:tabs>
        <w:ind w:left="720" w:hanging="360"/>
      </w:pPr>
      <w:rPr>
        <w:rFonts w:ascii="Symbol" w:hAnsi="Symbol" w:hint="default"/>
      </w:rPr>
    </w:lvl>
    <w:lvl w:ilvl="1" w:tplc="E99A71CE">
      <w:numFmt w:val="bullet"/>
      <w:lvlText w:val="o"/>
      <w:lvlJc w:val="left"/>
      <w:pPr>
        <w:tabs>
          <w:tab w:val="num" w:pos="1440"/>
        </w:tabs>
        <w:ind w:left="1440" w:hanging="360"/>
      </w:pPr>
      <w:rPr>
        <w:rFonts w:ascii="Courier New" w:hAnsi="Courier New" w:hint="default"/>
      </w:rPr>
    </w:lvl>
    <w:lvl w:ilvl="2" w:tplc="50AE8F44" w:tentative="1">
      <w:start w:val="1"/>
      <w:numFmt w:val="bullet"/>
      <w:lvlText w:val=""/>
      <w:lvlJc w:val="left"/>
      <w:pPr>
        <w:tabs>
          <w:tab w:val="num" w:pos="2160"/>
        </w:tabs>
        <w:ind w:left="2160" w:hanging="360"/>
      </w:pPr>
      <w:rPr>
        <w:rFonts w:ascii="Symbol" w:hAnsi="Symbol" w:hint="default"/>
      </w:rPr>
    </w:lvl>
    <w:lvl w:ilvl="3" w:tplc="94CE33FE" w:tentative="1">
      <w:start w:val="1"/>
      <w:numFmt w:val="bullet"/>
      <w:lvlText w:val=""/>
      <w:lvlJc w:val="left"/>
      <w:pPr>
        <w:tabs>
          <w:tab w:val="num" w:pos="2880"/>
        </w:tabs>
        <w:ind w:left="2880" w:hanging="360"/>
      </w:pPr>
      <w:rPr>
        <w:rFonts w:ascii="Symbol" w:hAnsi="Symbol" w:hint="default"/>
      </w:rPr>
    </w:lvl>
    <w:lvl w:ilvl="4" w:tplc="FB3CD47E" w:tentative="1">
      <w:start w:val="1"/>
      <w:numFmt w:val="bullet"/>
      <w:lvlText w:val=""/>
      <w:lvlJc w:val="left"/>
      <w:pPr>
        <w:tabs>
          <w:tab w:val="num" w:pos="3600"/>
        </w:tabs>
        <w:ind w:left="3600" w:hanging="360"/>
      </w:pPr>
      <w:rPr>
        <w:rFonts w:ascii="Symbol" w:hAnsi="Symbol" w:hint="default"/>
      </w:rPr>
    </w:lvl>
    <w:lvl w:ilvl="5" w:tplc="65E6B324" w:tentative="1">
      <w:start w:val="1"/>
      <w:numFmt w:val="bullet"/>
      <w:lvlText w:val=""/>
      <w:lvlJc w:val="left"/>
      <w:pPr>
        <w:tabs>
          <w:tab w:val="num" w:pos="4320"/>
        </w:tabs>
        <w:ind w:left="4320" w:hanging="360"/>
      </w:pPr>
      <w:rPr>
        <w:rFonts w:ascii="Symbol" w:hAnsi="Symbol" w:hint="default"/>
      </w:rPr>
    </w:lvl>
    <w:lvl w:ilvl="6" w:tplc="E7BA87AE" w:tentative="1">
      <w:start w:val="1"/>
      <w:numFmt w:val="bullet"/>
      <w:lvlText w:val=""/>
      <w:lvlJc w:val="left"/>
      <w:pPr>
        <w:tabs>
          <w:tab w:val="num" w:pos="5040"/>
        </w:tabs>
        <w:ind w:left="5040" w:hanging="360"/>
      </w:pPr>
      <w:rPr>
        <w:rFonts w:ascii="Symbol" w:hAnsi="Symbol" w:hint="default"/>
      </w:rPr>
    </w:lvl>
    <w:lvl w:ilvl="7" w:tplc="C890E176" w:tentative="1">
      <w:start w:val="1"/>
      <w:numFmt w:val="bullet"/>
      <w:lvlText w:val=""/>
      <w:lvlJc w:val="left"/>
      <w:pPr>
        <w:tabs>
          <w:tab w:val="num" w:pos="5760"/>
        </w:tabs>
        <w:ind w:left="5760" w:hanging="360"/>
      </w:pPr>
      <w:rPr>
        <w:rFonts w:ascii="Symbol" w:hAnsi="Symbol" w:hint="default"/>
      </w:rPr>
    </w:lvl>
    <w:lvl w:ilvl="8" w:tplc="2C66943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EB6D71"/>
    <w:multiLevelType w:val="hybridMultilevel"/>
    <w:tmpl w:val="C53AD212"/>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28"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4"/>
  </w:num>
  <w:num w:numId="2">
    <w:abstractNumId w:val="7"/>
  </w:num>
  <w:num w:numId="3">
    <w:abstractNumId w:val="22"/>
  </w:num>
  <w:num w:numId="4">
    <w:abstractNumId w:val="38"/>
  </w:num>
  <w:num w:numId="5">
    <w:abstractNumId w:val="23"/>
  </w:num>
  <w:num w:numId="6">
    <w:abstractNumId w:val="20"/>
  </w:num>
  <w:num w:numId="7">
    <w:abstractNumId w:val="3"/>
  </w:num>
  <w:num w:numId="8">
    <w:abstractNumId w:val="34"/>
  </w:num>
  <w:num w:numId="9">
    <w:abstractNumId w:val="17"/>
  </w:num>
  <w:num w:numId="10">
    <w:abstractNumId w:val="30"/>
  </w:num>
  <w:num w:numId="11">
    <w:abstractNumId w:val="21"/>
  </w:num>
  <w:num w:numId="12">
    <w:abstractNumId w:val="10"/>
  </w:num>
  <w:num w:numId="13">
    <w:abstractNumId w:val="1"/>
  </w:num>
  <w:num w:numId="14">
    <w:abstractNumId w:val="2"/>
  </w:num>
  <w:num w:numId="15">
    <w:abstractNumId w:val="33"/>
  </w:num>
  <w:num w:numId="16">
    <w:abstractNumId w:val="0"/>
  </w:num>
  <w:num w:numId="17">
    <w:abstractNumId w:val="25"/>
  </w:num>
  <w:num w:numId="18">
    <w:abstractNumId w:val="26"/>
  </w:num>
  <w:num w:numId="19">
    <w:abstractNumId w:val="36"/>
  </w:num>
  <w:num w:numId="20">
    <w:abstractNumId w:val="12"/>
  </w:num>
  <w:num w:numId="21">
    <w:abstractNumId w:val="19"/>
  </w:num>
  <w:num w:numId="22">
    <w:abstractNumId w:val="16"/>
  </w:num>
  <w:num w:numId="23">
    <w:abstractNumId w:val="13"/>
  </w:num>
  <w:num w:numId="24">
    <w:abstractNumId w:val="9"/>
  </w:num>
  <w:num w:numId="25">
    <w:abstractNumId w:val="18"/>
  </w:num>
  <w:num w:numId="26">
    <w:abstractNumId w:val="6"/>
  </w:num>
  <w:num w:numId="27">
    <w:abstractNumId w:val="6"/>
  </w:num>
  <w:num w:numId="28">
    <w:abstractNumId w:val="8"/>
  </w:num>
  <w:num w:numId="29">
    <w:abstractNumId w:val="15"/>
  </w:num>
  <w:num w:numId="30">
    <w:abstractNumId w:val="27"/>
  </w:num>
  <w:num w:numId="31">
    <w:abstractNumId w:val="32"/>
  </w:num>
  <w:num w:numId="32">
    <w:abstractNumId w:val="29"/>
  </w:num>
  <w:num w:numId="33">
    <w:abstractNumId w:val="24"/>
  </w:num>
  <w:num w:numId="34">
    <w:abstractNumId w:val="35"/>
  </w:num>
  <w:num w:numId="35">
    <w:abstractNumId w:val="11"/>
  </w:num>
  <w:num w:numId="36">
    <w:abstractNumId w:val="37"/>
  </w:num>
  <w:num w:numId="37">
    <w:abstractNumId w:val="5"/>
  </w:num>
  <w:num w:numId="38">
    <w:abstractNumId w:val="28"/>
  </w:num>
  <w:num w:numId="39">
    <w:abstractNumId w:val="31"/>
  </w:num>
  <w:num w:numId="40">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7FA"/>
    <w:rsid w:val="00004AC8"/>
    <w:rsid w:val="00004DC0"/>
    <w:rsid w:val="00004E2B"/>
    <w:rsid w:val="000056D7"/>
    <w:rsid w:val="00006055"/>
    <w:rsid w:val="000065B4"/>
    <w:rsid w:val="00006AD4"/>
    <w:rsid w:val="00006F8F"/>
    <w:rsid w:val="000074C4"/>
    <w:rsid w:val="000079A6"/>
    <w:rsid w:val="000101B2"/>
    <w:rsid w:val="00011235"/>
    <w:rsid w:val="00011BB2"/>
    <w:rsid w:val="0001217C"/>
    <w:rsid w:val="00012505"/>
    <w:rsid w:val="0001262C"/>
    <w:rsid w:val="000129A5"/>
    <w:rsid w:val="00012C4F"/>
    <w:rsid w:val="000131D1"/>
    <w:rsid w:val="000131D2"/>
    <w:rsid w:val="00013455"/>
    <w:rsid w:val="000134E3"/>
    <w:rsid w:val="00013632"/>
    <w:rsid w:val="000137FC"/>
    <w:rsid w:val="00013F5E"/>
    <w:rsid w:val="0001403F"/>
    <w:rsid w:val="00014091"/>
    <w:rsid w:val="0001411B"/>
    <w:rsid w:val="000144C4"/>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2A"/>
    <w:rsid w:val="00020C41"/>
    <w:rsid w:val="000210A4"/>
    <w:rsid w:val="000215B6"/>
    <w:rsid w:val="000217B2"/>
    <w:rsid w:val="0002348B"/>
    <w:rsid w:val="00023742"/>
    <w:rsid w:val="000239FA"/>
    <w:rsid w:val="00023B8B"/>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163"/>
    <w:rsid w:val="00032730"/>
    <w:rsid w:val="00032ACA"/>
    <w:rsid w:val="00033544"/>
    <w:rsid w:val="00033582"/>
    <w:rsid w:val="00033640"/>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B99"/>
    <w:rsid w:val="00042CAA"/>
    <w:rsid w:val="00042EB5"/>
    <w:rsid w:val="0004335D"/>
    <w:rsid w:val="000437C3"/>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664"/>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003"/>
    <w:rsid w:val="00062159"/>
    <w:rsid w:val="0006245E"/>
    <w:rsid w:val="000626D4"/>
    <w:rsid w:val="00062ABB"/>
    <w:rsid w:val="000631B7"/>
    <w:rsid w:val="000638E7"/>
    <w:rsid w:val="00063B21"/>
    <w:rsid w:val="00063D9E"/>
    <w:rsid w:val="00063F9B"/>
    <w:rsid w:val="000642F3"/>
    <w:rsid w:val="000648C8"/>
    <w:rsid w:val="00064AD3"/>
    <w:rsid w:val="00064CE3"/>
    <w:rsid w:val="00065088"/>
    <w:rsid w:val="0006519B"/>
    <w:rsid w:val="000652D3"/>
    <w:rsid w:val="00065390"/>
    <w:rsid w:val="000654A0"/>
    <w:rsid w:val="000656E8"/>
    <w:rsid w:val="000660A2"/>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617"/>
    <w:rsid w:val="00080F63"/>
    <w:rsid w:val="000816D2"/>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4BE"/>
    <w:rsid w:val="000879AD"/>
    <w:rsid w:val="00087C0B"/>
    <w:rsid w:val="0009016A"/>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00C"/>
    <w:rsid w:val="000A54EE"/>
    <w:rsid w:val="000A64B9"/>
    <w:rsid w:val="000A6796"/>
    <w:rsid w:val="000A6A23"/>
    <w:rsid w:val="000A6EE8"/>
    <w:rsid w:val="000A7550"/>
    <w:rsid w:val="000A7BC5"/>
    <w:rsid w:val="000A7F64"/>
    <w:rsid w:val="000B097E"/>
    <w:rsid w:val="000B09BC"/>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B7B8D"/>
    <w:rsid w:val="000C08DF"/>
    <w:rsid w:val="000C1D59"/>
    <w:rsid w:val="000C2614"/>
    <w:rsid w:val="000C3047"/>
    <w:rsid w:val="000C3992"/>
    <w:rsid w:val="000C3B02"/>
    <w:rsid w:val="000C3F65"/>
    <w:rsid w:val="000C404D"/>
    <w:rsid w:val="000C450F"/>
    <w:rsid w:val="000C501D"/>
    <w:rsid w:val="000C538A"/>
    <w:rsid w:val="000C5461"/>
    <w:rsid w:val="000C5A07"/>
    <w:rsid w:val="000C6291"/>
    <w:rsid w:val="000C67D4"/>
    <w:rsid w:val="000C6D89"/>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3CB"/>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4E0"/>
    <w:rsid w:val="0010275F"/>
    <w:rsid w:val="00102C9F"/>
    <w:rsid w:val="00102D72"/>
    <w:rsid w:val="001035D7"/>
    <w:rsid w:val="001036C8"/>
    <w:rsid w:val="00103B01"/>
    <w:rsid w:val="0010448D"/>
    <w:rsid w:val="0010496B"/>
    <w:rsid w:val="001050CE"/>
    <w:rsid w:val="00105709"/>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3AD3"/>
    <w:rsid w:val="00114004"/>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48"/>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68F"/>
    <w:rsid w:val="001458FF"/>
    <w:rsid w:val="001466FB"/>
    <w:rsid w:val="001467B1"/>
    <w:rsid w:val="00146D4A"/>
    <w:rsid w:val="00146DF0"/>
    <w:rsid w:val="00147F8A"/>
    <w:rsid w:val="00150175"/>
    <w:rsid w:val="001502C8"/>
    <w:rsid w:val="00150B49"/>
    <w:rsid w:val="00150C55"/>
    <w:rsid w:val="0015130F"/>
    <w:rsid w:val="00151E0E"/>
    <w:rsid w:val="0015346E"/>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6A03"/>
    <w:rsid w:val="001670EA"/>
    <w:rsid w:val="001674A0"/>
    <w:rsid w:val="001676D2"/>
    <w:rsid w:val="001708F4"/>
    <w:rsid w:val="00170927"/>
    <w:rsid w:val="00170A50"/>
    <w:rsid w:val="00170E01"/>
    <w:rsid w:val="00171F0C"/>
    <w:rsid w:val="001722E6"/>
    <w:rsid w:val="00172DF7"/>
    <w:rsid w:val="001739CC"/>
    <w:rsid w:val="00173BE9"/>
    <w:rsid w:val="00174F5C"/>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BDC"/>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4D1"/>
    <w:rsid w:val="00186904"/>
    <w:rsid w:val="001869F2"/>
    <w:rsid w:val="00186B0A"/>
    <w:rsid w:val="00186C32"/>
    <w:rsid w:val="00186C5C"/>
    <w:rsid w:val="00186FEB"/>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65"/>
    <w:rsid w:val="001A2CA9"/>
    <w:rsid w:val="001A32B7"/>
    <w:rsid w:val="001A4FB8"/>
    <w:rsid w:val="001A528E"/>
    <w:rsid w:val="001A5605"/>
    <w:rsid w:val="001A5E19"/>
    <w:rsid w:val="001A7400"/>
    <w:rsid w:val="001A7545"/>
    <w:rsid w:val="001A7DC8"/>
    <w:rsid w:val="001B01FA"/>
    <w:rsid w:val="001B0832"/>
    <w:rsid w:val="001B0D28"/>
    <w:rsid w:val="001B18A7"/>
    <w:rsid w:val="001B18FA"/>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2F5"/>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121"/>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BD3"/>
    <w:rsid w:val="001F4DAC"/>
    <w:rsid w:val="001F5019"/>
    <w:rsid w:val="001F5D49"/>
    <w:rsid w:val="001F5EA7"/>
    <w:rsid w:val="001F60BB"/>
    <w:rsid w:val="001F650F"/>
    <w:rsid w:val="001F67AA"/>
    <w:rsid w:val="001F67BD"/>
    <w:rsid w:val="001F73C3"/>
    <w:rsid w:val="001F7599"/>
    <w:rsid w:val="002005C0"/>
    <w:rsid w:val="002006A3"/>
    <w:rsid w:val="00200E97"/>
    <w:rsid w:val="0020189F"/>
    <w:rsid w:val="00202136"/>
    <w:rsid w:val="002021D1"/>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0FB4"/>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16"/>
    <w:rsid w:val="00232A55"/>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330"/>
    <w:rsid w:val="00244595"/>
    <w:rsid w:val="00244652"/>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2F8"/>
    <w:rsid w:val="002568D0"/>
    <w:rsid w:val="00256B73"/>
    <w:rsid w:val="00256C0A"/>
    <w:rsid w:val="002601D9"/>
    <w:rsid w:val="002602CD"/>
    <w:rsid w:val="0026031C"/>
    <w:rsid w:val="002604E5"/>
    <w:rsid w:val="00260645"/>
    <w:rsid w:val="00261CA1"/>
    <w:rsid w:val="00262661"/>
    <w:rsid w:val="0026299C"/>
    <w:rsid w:val="0026322B"/>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5BE5"/>
    <w:rsid w:val="002763E9"/>
    <w:rsid w:val="00276736"/>
    <w:rsid w:val="00276CFC"/>
    <w:rsid w:val="002801F8"/>
    <w:rsid w:val="0028035D"/>
    <w:rsid w:val="002804D4"/>
    <w:rsid w:val="00280F39"/>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3E2"/>
    <w:rsid w:val="002A352A"/>
    <w:rsid w:val="002A3BD4"/>
    <w:rsid w:val="002A511E"/>
    <w:rsid w:val="002A5631"/>
    <w:rsid w:val="002A58F3"/>
    <w:rsid w:val="002A6014"/>
    <w:rsid w:val="002A6023"/>
    <w:rsid w:val="002A607D"/>
    <w:rsid w:val="002B0878"/>
    <w:rsid w:val="002B0CE0"/>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247"/>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18"/>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6BDA"/>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6B96"/>
    <w:rsid w:val="003070AC"/>
    <w:rsid w:val="003071F6"/>
    <w:rsid w:val="00307518"/>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BF8"/>
    <w:rsid w:val="00321154"/>
    <w:rsid w:val="003211B0"/>
    <w:rsid w:val="003212D4"/>
    <w:rsid w:val="00321A15"/>
    <w:rsid w:val="00321EDA"/>
    <w:rsid w:val="00321F92"/>
    <w:rsid w:val="0032235B"/>
    <w:rsid w:val="003224AA"/>
    <w:rsid w:val="003224E7"/>
    <w:rsid w:val="00323789"/>
    <w:rsid w:val="00323DB2"/>
    <w:rsid w:val="0032524F"/>
    <w:rsid w:val="0032527A"/>
    <w:rsid w:val="003254F7"/>
    <w:rsid w:val="00325667"/>
    <w:rsid w:val="00325D7A"/>
    <w:rsid w:val="003260B6"/>
    <w:rsid w:val="00326145"/>
    <w:rsid w:val="00327163"/>
    <w:rsid w:val="00327305"/>
    <w:rsid w:val="00327511"/>
    <w:rsid w:val="00327531"/>
    <w:rsid w:val="00327CA0"/>
    <w:rsid w:val="00330187"/>
    <w:rsid w:val="00330207"/>
    <w:rsid w:val="00330276"/>
    <w:rsid w:val="003303B6"/>
    <w:rsid w:val="00331833"/>
    <w:rsid w:val="00331939"/>
    <w:rsid w:val="00331C77"/>
    <w:rsid w:val="00331DB6"/>
    <w:rsid w:val="00331F96"/>
    <w:rsid w:val="00332022"/>
    <w:rsid w:val="0033237D"/>
    <w:rsid w:val="00332B55"/>
    <w:rsid w:val="00332B85"/>
    <w:rsid w:val="00332C00"/>
    <w:rsid w:val="003340F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BDB"/>
    <w:rsid w:val="00344DCD"/>
    <w:rsid w:val="00344E96"/>
    <w:rsid w:val="0034535E"/>
    <w:rsid w:val="003453B6"/>
    <w:rsid w:val="00345405"/>
    <w:rsid w:val="00345BCF"/>
    <w:rsid w:val="00345DDD"/>
    <w:rsid w:val="00346BEC"/>
    <w:rsid w:val="00346C1C"/>
    <w:rsid w:val="00346FED"/>
    <w:rsid w:val="003475F3"/>
    <w:rsid w:val="003476C7"/>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034"/>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0E5"/>
    <w:rsid w:val="0038085D"/>
    <w:rsid w:val="0038099B"/>
    <w:rsid w:val="00380F3F"/>
    <w:rsid w:val="00381264"/>
    <w:rsid w:val="00381282"/>
    <w:rsid w:val="0038159E"/>
    <w:rsid w:val="00382232"/>
    <w:rsid w:val="003822A8"/>
    <w:rsid w:val="00382F1A"/>
    <w:rsid w:val="00383282"/>
    <w:rsid w:val="00383658"/>
    <w:rsid w:val="00383C97"/>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5BF"/>
    <w:rsid w:val="003A4985"/>
    <w:rsid w:val="003A55BD"/>
    <w:rsid w:val="003A597F"/>
    <w:rsid w:val="003A6821"/>
    <w:rsid w:val="003A69A0"/>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DE5"/>
    <w:rsid w:val="003B2E9B"/>
    <w:rsid w:val="003B2F8D"/>
    <w:rsid w:val="003B3DA9"/>
    <w:rsid w:val="003B3EF3"/>
    <w:rsid w:val="003B3FC7"/>
    <w:rsid w:val="003B4E6C"/>
    <w:rsid w:val="003B4FAA"/>
    <w:rsid w:val="003B4FAE"/>
    <w:rsid w:val="003B5125"/>
    <w:rsid w:val="003B547A"/>
    <w:rsid w:val="003B5620"/>
    <w:rsid w:val="003B6039"/>
    <w:rsid w:val="003B61C3"/>
    <w:rsid w:val="003B637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11C"/>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A3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08FA"/>
    <w:rsid w:val="004126D0"/>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2A"/>
    <w:rsid w:val="004223BD"/>
    <w:rsid w:val="004228D6"/>
    <w:rsid w:val="00422910"/>
    <w:rsid w:val="00423015"/>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02"/>
    <w:rsid w:val="00431FD5"/>
    <w:rsid w:val="00432110"/>
    <w:rsid w:val="00432125"/>
    <w:rsid w:val="00432FA7"/>
    <w:rsid w:val="00433E36"/>
    <w:rsid w:val="00433EBE"/>
    <w:rsid w:val="00434406"/>
    <w:rsid w:val="00434567"/>
    <w:rsid w:val="00434902"/>
    <w:rsid w:val="00435541"/>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5F1"/>
    <w:rsid w:val="0044474B"/>
    <w:rsid w:val="00444DC0"/>
    <w:rsid w:val="004452B6"/>
    <w:rsid w:val="00445500"/>
    <w:rsid w:val="004456EE"/>
    <w:rsid w:val="00445F09"/>
    <w:rsid w:val="00445FF7"/>
    <w:rsid w:val="004460C4"/>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1676"/>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19"/>
    <w:rsid w:val="004940E4"/>
    <w:rsid w:val="004941A8"/>
    <w:rsid w:val="00494365"/>
    <w:rsid w:val="00495634"/>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2E"/>
    <w:rsid w:val="004D5B4B"/>
    <w:rsid w:val="004D6736"/>
    <w:rsid w:val="004D7223"/>
    <w:rsid w:val="004D7250"/>
    <w:rsid w:val="004D725F"/>
    <w:rsid w:val="004D7556"/>
    <w:rsid w:val="004D7DA8"/>
    <w:rsid w:val="004D7F20"/>
    <w:rsid w:val="004E0337"/>
    <w:rsid w:val="004E0600"/>
    <w:rsid w:val="004E112C"/>
    <w:rsid w:val="004E203C"/>
    <w:rsid w:val="004E212A"/>
    <w:rsid w:val="004E2892"/>
    <w:rsid w:val="004E2DEF"/>
    <w:rsid w:val="004E2E4C"/>
    <w:rsid w:val="004E3490"/>
    <w:rsid w:val="004E3611"/>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5B9A"/>
    <w:rsid w:val="004F6050"/>
    <w:rsid w:val="004F6278"/>
    <w:rsid w:val="004F661C"/>
    <w:rsid w:val="004F6D99"/>
    <w:rsid w:val="004F7070"/>
    <w:rsid w:val="004F71AE"/>
    <w:rsid w:val="004F7DB5"/>
    <w:rsid w:val="004F7FF6"/>
    <w:rsid w:val="005000E3"/>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A7"/>
    <w:rsid w:val="005153CE"/>
    <w:rsid w:val="00515619"/>
    <w:rsid w:val="00516241"/>
    <w:rsid w:val="00516A3E"/>
    <w:rsid w:val="00516CBC"/>
    <w:rsid w:val="00516FD9"/>
    <w:rsid w:val="005171F4"/>
    <w:rsid w:val="00517261"/>
    <w:rsid w:val="0051791D"/>
    <w:rsid w:val="00520BE0"/>
    <w:rsid w:val="00520D6D"/>
    <w:rsid w:val="00521F4B"/>
    <w:rsid w:val="005221DC"/>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4796E"/>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365"/>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635"/>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528"/>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91"/>
    <w:rsid w:val="005C28C0"/>
    <w:rsid w:val="005C2ABA"/>
    <w:rsid w:val="005C3CC6"/>
    <w:rsid w:val="005C3E8A"/>
    <w:rsid w:val="005C41D4"/>
    <w:rsid w:val="005C4750"/>
    <w:rsid w:val="005C4B87"/>
    <w:rsid w:val="005C4E58"/>
    <w:rsid w:val="005C5158"/>
    <w:rsid w:val="005C580A"/>
    <w:rsid w:val="005C6835"/>
    <w:rsid w:val="005C69E3"/>
    <w:rsid w:val="005D0079"/>
    <w:rsid w:val="005D059A"/>
    <w:rsid w:val="005D07C5"/>
    <w:rsid w:val="005D130E"/>
    <w:rsid w:val="005D1895"/>
    <w:rsid w:val="005D1AA5"/>
    <w:rsid w:val="005D1FF8"/>
    <w:rsid w:val="005D2403"/>
    <w:rsid w:val="005D25F4"/>
    <w:rsid w:val="005D2CA0"/>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6E70"/>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1F3"/>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030"/>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2D6A"/>
    <w:rsid w:val="006433BD"/>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20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ABD"/>
    <w:rsid w:val="00665F7C"/>
    <w:rsid w:val="00665FEE"/>
    <w:rsid w:val="006662F4"/>
    <w:rsid w:val="0066692C"/>
    <w:rsid w:val="0066699A"/>
    <w:rsid w:val="00666CD2"/>
    <w:rsid w:val="00666DFC"/>
    <w:rsid w:val="00666EBB"/>
    <w:rsid w:val="00667280"/>
    <w:rsid w:val="00667385"/>
    <w:rsid w:val="0066779E"/>
    <w:rsid w:val="0067015D"/>
    <w:rsid w:val="00670DFE"/>
    <w:rsid w:val="0067104D"/>
    <w:rsid w:val="00671534"/>
    <w:rsid w:val="006717BA"/>
    <w:rsid w:val="006718C8"/>
    <w:rsid w:val="0067269D"/>
    <w:rsid w:val="00672988"/>
    <w:rsid w:val="00672AD1"/>
    <w:rsid w:val="00672C64"/>
    <w:rsid w:val="00673BFF"/>
    <w:rsid w:val="0067499F"/>
    <w:rsid w:val="00674E6A"/>
    <w:rsid w:val="00674F48"/>
    <w:rsid w:val="006758E2"/>
    <w:rsid w:val="00675943"/>
    <w:rsid w:val="00675DAB"/>
    <w:rsid w:val="00675F57"/>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37D7"/>
    <w:rsid w:val="00693C9A"/>
    <w:rsid w:val="006946FD"/>
    <w:rsid w:val="00694797"/>
    <w:rsid w:val="00695B22"/>
    <w:rsid w:val="00696453"/>
    <w:rsid w:val="00696863"/>
    <w:rsid w:val="00696D63"/>
    <w:rsid w:val="00696FCC"/>
    <w:rsid w:val="00697082"/>
    <w:rsid w:val="00697117"/>
    <w:rsid w:val="006A032F"/>
    <w:rsid w:val="006A076B"/>
    <w:rsid w:val="006A0976"/>
    <w:rsid w:val="006A0B4F"/>
    <w:rsid w:val="006A1192"/>
    <w:rsid w:val="006A127E"/>
    <w:rsid w:val="006A21E3"/>
    <w:rsid w:val="006A235C"/>
    <w:rsid w:val="006A3769"/>
    <w:rsid w:val="006A41AE"/>
    <w:rsid w:val="006A46AB"/>
    <w:rsid w:val="006A46DC"/>
    <w:rsid w:val="006A4856"/>
    <w:rsid w:val="006A4C16"/>
    <w:rsid w:val="006A55A0"/>
    <w:rsid w:val="006A564B"/>
    <w:rsid w:val="006A58F9"/>
    <w:rsid w:val="006A5915"/>
    <w:rsid w:val="006A5A1B"/>
    <w:rsid w:val="006A661C"/>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9FB"/>
    <w:rsid w:val="006B7A6F"/>
    <w:rsid w:val="006C0085"/>
    <w:rsid w:val="006C0195"/>
    <w:rsid w:val="006C05B7"/>
    <w:rsid w:val="006C08C5"/>
    <w:rsid w:val="006C0E8A"/>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5D76"/>
    <w:rsid w:val="006E6BA3"/>
    <w:rsid w:val="006E7E99"/>
    <w:rsid w:val="006F01EB"/>
    <w:rsid w:val="006F0D1F"/>
    <w:rsid w:val="006F0D44"/>
    <w:rsid w:val="006F1116"/>
    <w:rsid w:val="006F1206"/>
    <w:rsid w:val="006F2231"/>
    <w:rsid w:val="006F22A0"/>
    <w:rsid w:val="006F22EF"/>
    <w:rsid w:val="006F3196"/>
    <w:rsid w:val="006F3489"/>
    <w:rsid w:val="006F3C54"/>
    <w:rsid w:val="006F4061"/>
    <w:rsid w:val="006F4ACC"/>
    <w:rsid w:val="006F4DCC"/>
    <w:rsid w:val="006F4F99"/>
    <w:rsid w:val="006F5E64"/>
    <w:rsid w:val="006F5FFA"/>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011"/>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3010E"/>
    <w:rsid w:val="00730D02"/>
    <w:rsid w:val="0073124A"/>
    <w:rsid w:val="007313AA"/>
    <w:rsid w:val="007313AC"/>
    <w:rsid w:val="007317FF"/>
    <w:rsid w:val="007318EB"/>
    <w:rsid w:val="00731A3F"/>
    <w:rsid w:val="00731B79"/>
    <w:rsid w:val="00731DB7"/>
    <w:rsid w:val="00733893"/>
    <w:rsid w:val="007340A5"/>
    <w:rsid w:val="00734348"/>
    <w:rsid w:val="00734A05"/>
    <w:rsid w:val="00735489"/>
    <w:rsid w:val="00735658"/>
    <w:rsid w:val="00735C6F"/>
    <w:rsid w:val="00735D4F"/>
    <w:rsid w:val="00735F4F"/>
    <w:rsid w:val="0073601B"/>
    <w:rsid w:val="007361D7"/>
    <w:rsid w:val="00736585"/>
    <w:rsid w:val="007366CF"/>
    <w:rsid w:val="007408D5"/>
    <w:rsid w:val="0074134B"/>
    <w:rsid w:val="0074195D"/>
    <w:rsid w:val="00741C59"/>
    <w:rsid w:val="00741F02"/>
    <w:rsid w:val="0074220E"/>
    <w:rsid w:val="00742422"/>
    <w:rsid w:val="00742A15"/>
    <w:rsid w:val="00742B44"/>
    <w:rsid w:val="00743976"/>
    <w:rsid w:val="0074414F"/>
    <w:rsid w:val="00744157"/>
    <w:rsid w:val="00744441"/>
    <w:rsid w:val="00744D94"/>
    <w:rsid w:val="00745399"/>
    <w:rsid w:val="00745540"/>
    <w:rsid w:val="0074655A"/>
    <w:rsid w:val="00746857"/>
    <w:rsid w:val="007469B7"/>
    <w:rsid w:val="00747849"/>
    <w:rsid w:val="00747C1C"/>
    <w:rsid w:val="00750A8C"/>
    <w:rsid w:val="00751792"/>
    <w:rsid w:val="00751CDE"/>
    <w:rsid w:val="00751DBE"/>
    <w:rsid w:val="0075210F"/>
    <w:rsid w:val="00753150"/>
    <w:rsid w:val="007538E9"/>
    <w:rsid w:val="00753BB5"/>
    <w:rsid w:val="00753E08"/>
    <w:rsid w:val="00754115"/>
    <w:rsid w:val="007544C0"/>
    <w:rsid w:val="007547B2"/>
    <w:rsid w:val="00754973"/>
    <w:rsid w:val="00754B37"/>
    <w:rsid w:val="00754E32"/>
    <w:rsid w:val="00755035"/>
    <w:rsid w:val="0075660B"/>
    <w:rsid w:val="00756832"/>
    <w:rsid w:val="00756F62"/>
    <w:rsid w:val="00757305"/>
    <w:rsid w:val="00757A51"/>
    <w:rsid w:val="0076034B"/>
    <w:rsid w:val="00760422"/>
    <w:rsid w:val="00760768"/>
    <w:rsid w:val="007612B4"/>
    <w:rsid w:val="00761533"/>
    <w:rsid w:val="007624B7"/>
    <w:rsid w:val="0076266E"/>
    <w:rsid w:val="007626B7"/>
    <w:rsid w:val="007626D0"/>
    <w:rsid w:val="00762D5D"/>
    <w:rsid w:val="00763CCE"/>
    <w:rsid w:val="007640E8"/>
    <w:rsid w:val="007643E6"/>
    <w:rsid w:val="007645E5"/>
    <w:rsid w:val="007651CA"/>
    <w:rsid w:val="007652AC"/>
    <w:rsid w:val="0076595C"/>
    <w:rsid w:val="00767519"/>
    <w:rsid w:val="0076757C"/>
    <w:rsid w:val="007679BB"/>
    <w:rsid w:val="00767DC2"/>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20F"/>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A8C"/>
    <w:rsid w:val="00792CEE"/>
    <w:rsid w:val="00792E06"/>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8F"/>
    <w:rsid w:val="007A43ED"/>
    <w:rsid w:val="007A4853"/>
    <w:rsid w:val="007A4997"/>
    <w:rsid w:val="007A4BDD"/>
    <w:rsid w:val="007A4C98"/>
    <w:rsid w:val="007A500A"/>
    <w:rsid w:val="007A5766"/>
    <w:rsid w:val="007A6CAE"/>
    <w:rsid w:val="007A70D1"/>
    <w:rsid w:val="007A72EE"/>
    <w:rsid w:val="007A74C3"/>
    <w:rsid w:val="007A7D79"/>
    <w:rsid w:val="007B01F7"/>
    <w:rsid w:val="007B0352"/>
    <w:rsid w:val="007B0391"/>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381"/>
    <w:rsid w:val="007D1538"/>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934"/>
    <w:rsid w:val="007E5AC2"/>
    <w:rsid w:val="007E67C7"/>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498B"/>
    <w:rsid w:val="007F4B73"/>
    <w:rsid w:val="007F5CEB"/>
    <w:rsid w:val="007F62D2"/>
    <w:rsid w:val="007F716D"/>
    <w:rsid w:val="007F7EFF"/>
    <w:rsid w:val="00800229"/>
    <w:rsid w:val="008006C6"/>
    <w:rsid w:val="00800BFF"/>
    <w:rsid w:val="00800C52"/>
    <w:rsid w:val="00800DC4"/>
    <w:rsid w:val="00801132"/>
    <w:rsid w:val="0080153E"/>
    <w:rsid w:val="008016C0"/>
    <w:rsid w:val="0080213B"/>
    <w:rsid w:val="008021C3"/>
    <w:rsid w:val="00802417"/>
    <w:rsid w:val="00802852"/>
    <w:rsid w:val="00803E2C"/>
    <w:rsid w:val="00803EDE"/>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3E48"/>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8F9"/>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693"/>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5FB4"/>
    <w:rsid w:val="008A63B6"/>
    <w:rsid w:val="008A6ADF"/>
    <w:rsid w:val="008A6D62"/>
    <w:rsid w:val="008A6E73"/>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0DA7"/>
    <w:rsid w:val="008D13DA"/>
    <w:rsid w:val="008D167D"/>
    <w:rsid w:val="008D1BB0"/>
    <w:rsid w:val="008D2298"/>
    <w:rsid w:val="008D261F"/>
    <w:rsid w:val="008D2B53"/>
    <w:rsid w:val="008D2DF1"/>
    <w:rsid w:val="008D2E81"/>
    <w:rsid w:val="008D2FB3"/>
    <w:rsid w:val="008D3640"/>
    <w:rsid w:val="008D3B28"/>
    <w:rsid w:val="008D3B79"/>
    <w:rsid w:val="008D492A"/>
    <w:rsid w:val="008D49AA"/>
    <w:rsid w:val="008D4B58"/>
    <w:rsid w:val="008D4B8A"/>
    <w:rsid w:val="008D51BD"/>
    <w:rsid w:val="008D5935"/>
    <w:rsid w:val="008D6541"/>
    <w:rsid w:val="008D6E1A"/>
    <w:rsid w:val="008D700C"/>
    <w:rsid w:val="008D7566"/>
    <w:rsid w:val="008D778E"/>
    <w:rsid w:val="008D7D7B"/>
    <w:rsid w:val="008E0717"/>
    <w:rsid w:val="008E0F52"/>
    <w:rsid w:val="008E11BE"/>
    <w:rsid w:val="008E183F"/>
    <w:rsid w:val="008E1BE0"/>
    <w:rsid w:val="008E1E65"/>
    <w:rsid w:val="008E2171"/>
    <w:rsid w:val="008E2316"/>
    <w:rsid w:val="008E26FF"/>
    <w:rsid w:val="008E34BE"/>
    <w:rsid w:val="008E37F9"/>
    <w:rsid w:val="008E42F4"/>
    <w:rsid w:val="008E48F7"/>
    <w:rsid w:val="008E5307"/>
    <w:rsid w:val="008E5535"/>
    <w:rsid w:val="008E5657"/>
    <w:rsid w:val="008E5D08"/>
    <w:rsid w:val="008E5E51"/>
    <w:rsid w:val="008E60F1"/>
    <w:rsid w:val="008E7004"/>
    <w:rsid w:val="008E721F"/>
    <w:rsid w:val="008E7D63"/>
    <w:rsid w:val="008E7DD2"/>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BF7"/>
    <w:rsid w:val="008F5E2A"/>
    <w:rsid w:val="008F68CE"/>
    <w:rsid w:val="009005EE"/>
    <w:rsid w:val="009006A2"/>
    <w:rsid w:val="009007A5"/>
    <w:rsid w:val="00900B54"/>
    <w:rsid w:val="00900FE1"/>
    <w:rsid w:val="0090102B"/>
    <w:rsid w:val="00901448"/>
    <w:rsid w:val="00901CBE"/>
    <w:rsid w:val="00901E29"/>
    <w:rsid w:val="00902199"/>
    <w:rsid w:val="0090264C"/>
    <w:rsid w:val="009031B1"/>
    <w:rsid w:val="009036BC"/>
    <w:rsid w:val="00903797"/>
    <w:rsid w:val="00903FBD"/>
    <w:rsid w:val="00904053"/>
    <w:rsid w:val="0090425F"/>
    <w:rsid w:val="00904CEC"/>
    <w:rsid w:val="0090579E"/>
    <w:rsid w:val="00905C47"/>
    <w:rsid w:val="00906379"/>
    <w:rsid w:val="0090638B"/>
    <w:rsid w:val="00906393"/>
    <w:rsid w:val="00906456"/>
    <w:rsid w:val="00906578"/>
    <w:rsid w:val="0090752E"/>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2D7"/>
    <w:rsid w:val="00917304"/>
    <w:rsid w:val="009173CD"/>
    <w:rsid w:val="009203DB"/>
    <w:rsid w:val="00920A72"/>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355"/>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369"/>
    <w:rsid w:val="0094260B"/>
    <w:rsid w:val="0094262D"/>
    <w:rsid w:val="009430F9"/>
    <w:rsid w:val="009432C3"/>
    <w:rsid w:val="009435BA"/>
    <w:rsid w:val="00943C6E"/>
    <w:rsid w:val="00943C9B"/>
    <w:rsid w:val="0094409C"/>
    <w:rsid w:val="00944159"/>
    <w:rsid w:val="009444D9"/>
    <w:rsid w:val="00944714"/>
    <w:rsid w:val="009449B2"/>
    <w:rsid w:val="00944A82"/>
    <w:rsid w:val="00945C5F"/>
    <w:rsid w:val="0094601F"/>
    <w:rsid w:val="00946399"/>
    <w:rsid w:val="00946C4D"/>
    <w:rsid w:val="0094756B"/>
    <w:rsid w:val="00950387"/>
    <w:rsid w:val="009504B9"/>
    <w:rsid w:val="009520B3"/>
    <w:rsid w:val="0095285B"/>
    <w:rsid w:val="00953099"/>
    <w:rsid w:val="00953180"/>
    <w:rsid w:val="00953A52"/>
    <w:rsid w:val="00953B1B"/>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2EB2"/>
    <w:rsid w:val="00963085"/>
    <w:rsid w:val="009633BB"/>
    <w:rsid w:val="00963B01"/>
    <w:rsid w:val="00963B4B"/>
    <w:rsid w:val="009640C0"/>
    <w:rsid w:val="0096426C"/>
    <w:rsid w:val="00964711"/>
    <w:rsid w:val="0096485F"/>
    <w:rsid w:val="00964D95"/>
    <w:rsid w:val="00964D9D"/>
    <w:rsid w:val="00965D60"/>
    <w:rsid w:val="00965F95"/>
    <w:rsid w:val="0096647B"/>
    <w:rsid w:val="00966B46"/>
    <w:rsid w:val="0096726D"/>
    <w:rsid w:val="00967354"/>
    <w:rsid w:val="00967C51"/>
    <w:rsid w:val="00970648"/>
    <w:rsid w:val="00971033"/>
    <w:rsid w:val="00971592"/>
    <w:rsid w:val="00971DDF"/>
    <w:rsid w:val="00971FDE"/>
    <w:rsid w:val="00972229"/>
    <w:rsid w:val="0097284E"/>
    <w:rsid w:val="009731D6"/>
    <w:rsid w:val="00973E89"/>
    <w:rsid w:val="0097458D"/>
    <w:rsid w:val="009745AD"/>
    <w:rsid w:val="009745F2"/>
    <w:rsid w:val="00974746"/>
    <w:rsid w:val="00974C40"/>
    <w:rsid w:val="00975119"/>
    <w:rsid w:val="00975917"/>
    <w:rsid w:val="00976F04"/>
    <w:rsid w:val="00976F45"/>
    <w:rsid w:val="009775E9"/>
    <w:rsid w:val="009777F4"/>
    <w:rsid w:val="00977AD8"/>
    <w:rsid w:val="00980454"/>
    <w:rsid w:val="009804E2"/>
    <w:rsid w:val="00980595"/>
    <w:rsid w:val="009805C7"/>
    <w:rsid w:val="00980A10"/>
    <w:rsid w:val="00980C2D"/>
    <w:rsid w:val="00981130"/>
    <w:rsid w:val="009819D0"/>
    <w:rsid w:val="00982EEC"/>
    <w:rsid w:val="00983038"/>
    <w:rsid w:val="009833B1"/>
    <w:rsid w:val="009834A6"/>
    <w:rsid w:val="00983A9E"/>
    <w:rsid w:val="00983D46"/>
    <w:rsid w:val="00983DCA"/>
    <w:rsid w:val="0098433B"/>
    <w:rsid w:val="00984981"/>
    <w:rsid w:val="00985DE0"/>
    <w:rsid w:val="00985EF7"/>
    <w:rsid w:val="0098622F"/>
    <w:rsid w:val="00986396"/>
    <w:rsid w:val="009864F8"/>
    <w:rsid w:val="009865EE"/>
    <w:rsid w:val="00986705"/>
    <w:rsid w:val="009869EA"/>
    <w:rsid w:val="00986B06"/>
    <w:rsid w:val="00986CF9"/>
    <w:rsid w:val="00987416"/>
    <w:rsid w:val="00987C3F"/>
    <w:rsid w:val="009906EA"/>
    <w:rsid w:val="009907E2"/>
    <w:rsid w:val="00990C0E"/>
    <w:rsid w:val="00990CBB"/>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431"/>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E55"/>
    <w:rsid w:val="009B0F8C"/>
    <w:rsid w:val="009B1E47"/>
    <w:rsid w:val="009B1F91"/>
    <w:rsid w:val="009B2267"/>
    <w:rsid w:val="009B288F"/>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396"/>
    <w:rsid w:val="009E5988"/>
    <w:rsid w:val="009E5A84"/>
    <w:rsid w:val="009E5AF5"/>
    <w:rsid w:val="009E5B3E"/>
    <w:rsid w:val="009E5EB5"/>
    <w:rsid w:val="009E623F"/>
    <w:rsid w:val="009E6BD8"/>
    <w:rsid w:val="009E74F0"/>
    <w:rsid w:val="009F0768"/>
    <w:rsid w:val="009F08DB"/>
    <w:rsid w:val="009F0AEF"/>
    <w:rsid w:val="009F0FA8"/>
    <w:rsid w:val="009F12F3"/>
    <w:rsid w:val="009F1376"/>
    <w:rsid w:val="009F17D8"/>
    <w:rsid w:val="009F2578"/>
    <w:rsid w:val="009F2A71"/>
    <w:rsid w:val="009F397D"/>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72"/>
    <w:rsid w:val="00A2459D"/>
    <w:rsid w:val="00A2492E"/>
    <w:rsid w:val="00A24C26"/>
    <w:rsid w:val="00A24E23"/>
    <w:rsid w:val="00A24F3B"/>
    <w:rsid w:val="00A25F05"/>
    <w:rsid w:val="00A26B26"/>
    <w:rsid w:val="00A272F3"/>
    <w:rsid w:val="00A27685"/>
    <w:rsid w:val="00A311AE"/>
    <w:rsid w:val="00A312A6"/>
    <w:rsid w:val="00A3130E"/>
    <w:rsid w:val="00A324CF"/>
    <w:rsid w:val="00A327E2"/>
    <w:rsid w:val="00A32872"/>
    <w:rsid w:val="00A32E8B"/>
    <w:rsid w:val="00A32ED6"/>
    <w:rsid w:val="00A33102"/>
    <w:rsid w:val="00A33E9C"/>
    <w:rsid w:val="00A33F08"/>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BED"/>
    <w:rsid w:val="00A42D07"/>
    <w:rsid w:val="00A435FA"/>
    <w:rsid w:val="00A43D85"/>
    <w:rsid w:val="00A44788"/>
    <w:rsid w:val="00A450C0"/>
    <w:rsid w:val="00A45468"/>
    <w:rsid w:val="00A45529"/>
    <w:rsid w:val="00A455F8"/>
    <w:rsid w:val="00A459BA"/>
    <w:rsid w:val="00A46859"/>
    <w:rsid w:val="00A46E05"/>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3B3D"/>
    <w:rsid w:val="00A74085"/>
    <w:rsid w:val="00A743EB"/>
    <w:rsid w:val="00A74692"/>
    <w:rsid w:val="00A74EE3"/>
    <w:rsid w:val="00A75774"/>
    <w:rsid w:val="00A758F7"/>
    <w:rsid w:val="00A7591D"/>
    <w:rsid w:val="00A75C07"/>
    <w:rsid w:val="00A7618B"/>
    <w:rsid w:val="00A76342"/>
    <w:rsid w:val="00A7640B"/>
    <w:rsid w:val="00A766FA"/>
    <w:rsid w:val="00A768D5"/>
    <w:rsid w:val="00A7778B"/>
    <w:rsid w:val="00A777B3"/>
    <w:rsid w:val="00A77ED8"/>
    <w:rsid w:val="00A8007B"/>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05B7"/>
    <w:rsid w:val="00AA1087"/>
    <w:rsid w:val="00AA19FF"/>
    <w:rsid w:val="00AA2145"/>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4FDB"/>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3B92"/>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57EF"/>
    <w:rsid w:val="00AE5862"/>
    <w:rsid w:val="00AE69B2"/>
    <w:rsid w:val="00AE6AA2"/>
    <w:rsid w:val="00AE6D4C"/>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AD7"/>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AF7EBF"/>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280E"/>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37A59"/>
    <w:rsid w:val="00B37CF0"/>
    <w:rsid w:val="00B40A96"/>
    <w:rsid w:val="00B4102B"/>
    <w:rsid w:val="00B410E0"/>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3DE"/>
    <w:rsid w:val="00B63437"/>
    <w:rsid w:val="00B6352A"/>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798"/>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87D99"/>
    <w:rsid w:val="00B90E2A"/>
    <w:rsid w:val="00B90F2A"/>
    <w:rsid w:val="00B90F73"/>
    <w:rsid w:val="00B91395"/>
    <w:rsid w:val="00B916EB"/>
    <w:rsid w:val="00B91753"/>
    <w:rsid w:val="00B91922"/>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4F2B"/>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594"/>
    <w:rsid w:val="00BA3D7B"/>
    <w:rsid w:val="00BA48FC"/>
    <w:rsid w:val="00BA5CC2"/>
    <w:rsid w:val="00BA6548"/>
    <w:rsid w:val="00BA6A8D"/>
    <w:rsid w:val="00BA76A9"/>
    <w:rsid w:val="00BA79A3"/>
    <w:rsid w:val="00BA7A53"/>
    <w:rsid w:val="00BA7D97"/>
    <w:rsid w:val="00BB02AB"/>
    <w:rsid w:val="00BB13D1"/>
    <w:rsid w:val="00BB1FDA"/>
    <w:rsid w:val="00BB22A6"/>
    <w:rsid w:val="00BB2C59"/>
    <w:rsid w:val="00BB3C13"/>
    <w:rsid w:val="00BB3E2B"/>
    <w:rsid w:val="00BB4815"/>
    <w:rsid w:val="00BB4A65"/>
    <w:rsid w:val="00BB4C3C"/>
    <w:rsid w:val="00BB5043"/>
    <w:rsid w:val="00BB538C"/>
    <w:rsid w:val="00BB56E8"/>
    <w:rsid w:val="00BB5D1C"/>
    <w:rsid w:val="00BB6552"/>
    <w:rsid w:val="00BB65B2"/>
    <w:rsid w:val="00BB6B9B"/>
    <w:rsid w:val="00BB754F"/>
    <w:rsid w:val="00BB7795"/>
    <w:rsid w:val="00BB7DDF"/>
    <w:rsid w:val="00BC042E"/>
    <w:rsid w:val="00BC07D4"/>
    <w:rsid w:val="00BC0A5D"/>
    <w:rsid w:val="00BC0BE3"/>
    <w:rsid w:val="00BC0CD1"/>
    <w:rsid w:val="00BC0D9D"/>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3F2F"/>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1A7D"/>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9DD"/>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4275"/>
    <w:rsid w:val="00BF6AD6"/>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368"/>
    <w:rsid w:val="00C248A9"/>
    <w:rsid w:val="00C24CB7"/>
    <w:rsid w:val="00C24FF5"/>
    <w:rsid w:val="00C25019"/>
    <w:rsid w:val="00C2534D"/>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C00"/>
    <w:rsid w:val="00C33E30"/>
    <w:rsid w:val="00C34145"/>
    <w:rsid w:val="00C348D6"/>
    <w:rsid w:val="00C34F56"/>
    <w:rsid w:val="00C35389"/>
    <w:rsid w:val="00C35F1B"/>
    <w:rsid w:val="00C365E7"/>
    <w:rsid w:val="00C36A83"/>
    <w:rsid w:val="00C36E34"/>
    <w:rsid w:val="00C4041C"/>
    <w:rsid w:val="00C404EE"/>
    <w:rsid w:val="00C407E9"/>
    <w:rsid w:val="00C40D2D"/>
    <w:rsid w:val="00C40FC3"/>
    <w:rsid w:val="00C413DB"/>
    <w:rsid w:val="00C4171B"/>
    <w:rsid w:val="00C424FC"/>
    <w:rsid w:val="00C42689"/>
    <w:rsid w:val="00C42988"/>
    <w:rsid w:val="00C42BD4"/>
    <w:rsid w:val="00C42E9F"/>
    <w:rsid w:val="00C430C1"/>
    <w:rsid w:val="00C433B2"/>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2D5"/>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6E3"/>
    <w:rsid w:val="00C727DF"/>
    <w:rsid w:val="00C72E18"/>
    <w:rsid w:val="00C731AD"/>
    <w:rsid w:val="00C73553"/>
    <w:rsid w:val="00C73677"/>
    <w:rsid w:val="00C7380B"/>
    <w:rsid w:val="00C73E0C"/>
    <w:rsid w:val="00C74421"/>
    <w:rsid w:val="00C74F32"/>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7F1"/>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0E09"/>
    <w:rsid w:val="00C91F8C"/>
    <w:rsid w:val="00C92181"/>
    <w:rsid w:val="00C921EE"/>
    <w:rsid w:val="00C92BC7"/>
    <w:rsid w:val="00C92E01"/>
    <w:rsid w:val="00C92F94"/>
    <w:rsid w:val="00C93462"/>
    <w:rsid w:val="00C939B9"/>
    <w:rsid w:val="00C93B05"/>
    <w:rsid w:val="00C93BA4"/>
    <w:rsid w:val="00C9433D"/>
    <w:rsid w:val="00C94384"/>
    <w:rsid w:val="00C94A34"/>
    <w:rsid w:val="00C94C2B"/>
    <w:rsid w:val="00C94FBA"/>
    <w:rsid w:val="00C9553A"/>
    <w:rsid w:val="00C958A9"/>
    <w:rsid w:val="00C96860"/>
    <w:rsid w:val="00C96F79"/>
    <w:rsid w:val="00C97146"/>
    <w:rsid w:val="00C971D9"/>
    <w:rsid w:val="00C972FC"/>
    <w:rsid w:val="00C97CF9"/>
    <w:rsid w:val="00C97D5C"/>
    <w:rsid w:val="00C97F56"/>
    <w:rsid w:val="00CA0642"/>
    <w:rsid w:val="00CA09A5"/>
    <w:rsid w:val="00CA0E54"/>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2F9"/>
    <w:rsid w:val="00CD139E"/>
    <w:rsid w:val="00CD1922"/>
    <w:rsid w:val="00CD1FD3"/>
    <w:rsid w:val="00CD28C3"/>
    <w:rsid w:val="00CD28F0"/>
    <w:rsid w:val="00CD30D7"/>
    <w:rsid w:val="00CD34FD"/>
    <w:rsid w:val="00CD38B2"/>
    <w:rsid w:val="00CD3ED8"/>
    <w:rsid w:val="00CD42B8"/>
    <w:rsid w:val="00CD55C3"/>
    <w:rsid w:val="00CD5696"/>
    <w:rsid w:val="00CD736C"/>
    <w:rsid w:val="00CD761D"/>
    <w:rsid w:val="00CD76B5"/>
    <w:rsid w:val="00CE0090"/>
    <w:rsid w:val="00CE0D37"/>
    <w:rsid w:val="00CE139C"/>
    <w:rsid w:val="00CE204A"/>
    <w:rsid w:val="00CE2346"/>
    <w:rsid w:val="00CE2B02"/>
    <w:rsid w:val="00CE2E7A"/>
    <w:rsid w:val="00CE3B4E"/>
    <w:rsid w:val="00CE3DF3"/>
    <w:rsid w:val="00CE3F85"/>
    <w:rsid w:val="00CE439B"/>
    <w:rsid w:val="00CE4F2D"/>
    <w:rsid w:val="00CE5D76"/>
    <w:rsid w:val="00CE5F92"/>
    <w:rsid w:val="00CE6A8A"/>
    <w:rsid w:val="00CE6C09"/>
    <w:rsid w:val="00CE6C58"/>
    <w:rsid w:val="00CE6F0F"/>
    <w:rsid w:val="00CE6F23"/>
    <w:rsid w:val="00CE7C7C"/>
    <w:rsid w:val="00CF002F"/>
    <w:rsid w:val="00CF0246"/>
    <w:rsid w:val="00CF0813"/>
    <w:rsid w:val="00CF0C02"/>
    <w:rsid w:val="00CF1768"/>
    <w:rsid w:val="00CF1899"/>
    <w:rsid w:val="00CF1C46"/>
    <w:rsid w:val="00CF230B"/>
    <w:rsid w:val="00CF242E"/>
    <w:rsid w:val="00CF2483"/>
    <w:rsid w:val="00CF24E2"/>
    <w:rsid w:val="00CF37C8"/>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EA"/>
    <w:rsid w:val="00D04B56"/>
    <w:rsid w:val="00D04E6C"/>
    <w:rsid w:val="00D04F91"/>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65"/>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6E1"/>
    <w:rsid w:val="00D44922"/>
    <w:rsid w:val="00D44932"/>
    <w:rsid w:val="00D44EE4"/>
    <w:rsid w:val="00D453BF"/>
    <w:rsid w:val="00D46111"/>
    <w:rsid w:val="00D46E13"/>
    <w:rsid w:val="00D46FAC"/>
    <w:rsid w:val="00D4723F"/>
    <w:rsid w:val="00D47953"/>
    <w:rsid w:val="00D47C16"/>
    <w:rsid w:val="00D502AF"/>
    <w:rsid w:val="00D50500"/>
    <w:rsid w:val="00D50709"/>
    <w:rsid w:val="00D50764"/>
    <w:rsid w:val="00D50A15"/>
    <w:rsid w:val="00D50C12"/>
    <w:rsid w:val="00D51552"/>
    <w:rsid w:val="00D518FF"/>
    <w:rsid w:val="00D51A77"/>
    <w:rsid w:val="00D52212"/>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654"/>
    <w:rsid w:val="00D55762"/>
    <w:rsid w:val="00D557C4"/>
    <w:rsid w:val="00D55889"/>
    <w:rsid w:val="00D55F61"/>
    <w:rsid w:val="00D5648C"/>
    <w:rsid w:val="00D56B5F"/>
    <w:rsid w:val="00D56B74"/>
    <w:rsid w:val="00D57A3F"/>
    <w:rsid w:val="00D57AF0"/>
    <w:rsid w:val="00D57B67"/>
    <w:rsid w:val="00D57CE6"/>
    <w:rsid w:val="00D57DCF"/>
    <w:rsid w:val="00D60022"/>
    <w:rsid w:val="00D6009B"/>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26E4"/>
    <w:rsid w:val="00D73077"/>
    <w:rsid w:val="00D73297"/>
    <w:rsid w:val="00D736A2"/>
    <w:rsid w:val="00D73C57"/>
    <w:rsid w:val="00D73F78"/>
    <w:rsid w:val="00D742FF"/>
    <w:rsid w:val="00D74E81"/>
    <w:rsid w:val="00D754C4"/>
    <w:rsid w:val="00D758B3"/>
    <w:rsid w:val="00D75ADE"/>
    <w:rsid w:val="00D76354"/>
    <w:rsid w:val="00D76ADC"/>
    <w:rsid w:val="00D76BAC"/>
    <w:rsid w:val="00D76CE1"/>
    <w:rsid w:val="00D76F83"/>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0D73"/>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26"/>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E9D"/>
    <w:rsid w:val="00DA7FF0"/>
    <w:rsid w:val="00DB032E"/>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022C"/>
    <w:rsid w:val="00DC12B8"/>
    <w:rsid w:val="00DC1681"/>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5B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B87"/>
    <w:rsid w:val="00DF23CA"/>
    <w:rsid w:val="00DF2929"/>
    <w:rsid w:val="00DF2D99"/>
    <w:rsid w:val="00DF2ED3"/>
    <w:rsid w:val="00DF2F5F"/>
    <w:rsid w:val="00DF3159"/>
    <w:rsid w:val="00DF3B76"/>
    <w:rsid w:val="00DF4359"/>
    <w:rsid w:val="00DF4D53"/>
    <w:rsid w:val="00DF4FA9"/>
    <w:rsid w:val="00DF573B"/>
    <w:rsid w:val="00DF6286"/>
    <w:rsid w:val="00DF655A"/>
    <w:rsid w:val="00DF6757"/>
    <w:rsid w:val="00DF7742"/>
    <w:rsid w:val="00DF7751"/>
    <w:rsid w:val="00DF7B58"/>
    <w:rsid w:val="00DF7EDB"/>
    <w:rsid w:val="00E00B73"/>
    <w:rsid w:val="00E01370"/>
    <w:rsid w:val="00E01A1C"/>
    <w:rsid w:val="00E01B53"/>
    <w:rsid w:val="00E020EB"/>
    <w:rsid w:val="00E028BD"/>
    <w:rsid w:val="00E02E5B"/>
    <w:rsid w:val="00E031BB"/>
    <w:rsid w:val="00E0424A"/>
    <w:rsid w:val="00E044BC"/>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253"/>
    <w:rsid w:val="00E134F4"/>
    <w:rsid w:val="00E137AB"/>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4ED"/>
    <w:rsid w:val="00E27791"/>
    <w:rsid w:val="00E30A9E"/>
    <w:rsid w:val="00E30BEA"/>
    <w:rsid w:val="00E30F2D"/>
    <w:rsid w:val="00E31043"/>
    <w:rsid w:val="00E313D4"/>
    <w:rsid w:val="00E31987"/>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30C7"/>
    <w:rsid w:val="00E43F64"/>
    <w:rsid w:val="00E44293"/>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710"/>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0CD2"/>
    <w:rsid w:val="00E61300"/>
    <w:rsid w:val="00E614F2"/>
    <w:rsid w:val="00E6153D"/>
    <w:rsid w:val="00E61900"/>
    <w:rsid w:val="00E631AD"/>
    <w:rsid w:val="00E63230"/>
    <w:rsid w:val="00E633A7"/>
    <w:rsid w:val="00E635B9"/>
    <w:rsid w:val="00E635EF"/>
    <w:rsid w:val="00E64263"/>
    <w:rsid w:val="00E65D15"/>
    <w:rsid w:val="00E66264"/>
    <w:rsid w:val="00E6659E"/>
    <w:rsid w:val="00E665F3"/>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C4B"/>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1B53"/>
    <w:rsid w:val="00E9263B"/>
    <w:rsid w:val="00E936FF"/>
    <w:rsid w:val="00E946A6"/>
    <w:rsid w:val="00E947E4"/>
    <w:rsid w:val="00E94C9F"/>
    <w:rsid w:val="00E9508B"/>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97D38"/>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9DF"/>
    <w:rsid w:val="00EB7307"/>
    <w:rsid w:val="00EC06D6"/>
    <w:rsid w:val="00EC14B0"/>
    <w:rsid w:val="00EC16AF"/>
    <w:rsid w:val="00EC204E"/>
    <w:rsid w:val="00EC249E"/>
    <w:rsid w:val="00EC2CFF"/>
    <w:rsid w:val="00EC2F55"/>
    <w:rsid w:val="00EC3B42"/>
    <w:rsid w:val="00EC3BB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367"/>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2FEB"/>
    <w:rsid w:val="00EE3663"/>
    <w:rsid w:val="00EE41C4"/>
    <w:rsid w:val="00EE43EB"/>
    <w:rsid w:val="00EE4A40"/>
    <w:rsid w:val="00EE641F"/>
    <w:rsid w:val="00EE76A9"/>
    <w:rsid w:val="00EE7831"/>
    <w:rsid w:val="00EE799E"/>
    <w:rsid w:val="00EE7C7E"/>
    <w:rsid w:val="00EE7CA8"/>
    <w:rsid w:val="00EE7FA7"/>
    <w:rsid w:val="00EF0259"/>
    <w:rsid w:val="00EF093A"/>
    <w:rsid w:val="00EF1093"/>
    <w:rsid w:val="00EF13DC"/>
    <w:rsid w:val="00EF1645"/>
    <w:rsid w:val="00EF1843"/>
    <w:rsid w:val="00EF1B24"/>
    <w:rsid w:val="00EF1FCB"/>
    <w:rsid w:val="00EF21C3"/>
    <w:rsid w:val="00EF222B"/>
    <w:rsid w:val="00EF2E6B"/>
    <w:rsid w:val="00EF3C69"/>
    <w:rsid w:val="00EF3DFE"/>
    <w:rsid w:val="00EF461D"/>
    <w:rsid w:val="00EF48EC"/>
    <w:rsid w:val="00EF555A"/>
    <w:rsid w:val="00EF58AE"/>
    <w:rsid w:val="00EF5BA1"/>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375"/>
    <w:rsid w:val="00F20478"/>
    <w:rsid w:val="00F2052B"/>
    <w:rsid w:val="00F20905"/>
    <w:rsid w:val="00F20A1C"/>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358"/>
    <w:rsid w:val="00F34444"/>
    <w:rsid w:val="00F345D4"/>
    <w:rsid w:val="00F34F36"/>
    <w:rsid w:val="00F360A6"/>
    <w:rsid w:val="00F36C68"/>
    <w:rsid w:val="00F36F33"/>
    <w:rsid w:val="00F376C1"/>
    <w:rsid w:val="00F400FA"/>
    <w:rsid w:val="00F4065A"/>
    <w:rsid w:val="00F40F19"/>
    <w:rsid w:val="00F41120"/>
    <w:rsid w:val="00F411EA"/>
    <w:rsid w:val="00F4166B"/>
    <w:rsid w:val="00F4275C"/>
    <w:rsid w:val="00F42F75"/>
    <w:rsid w:val="00F434A3"/>
    <w:rsid w:val="00F44503"/>
    <w:rsid w:val="00F44D0D"/>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4FB5"/>
    <w:rsid w:val="00F55760"/>
    <w:rsid w:val="00F5588F"/>
    <w:rsid w:val="00F55A3B"/>
    <w:rsid w:val="00F5606A"/>
    <w:rsid w:val="00F560FE"/>
    <w:rsid w:val="00F56D10"/>
    <w:rsid w:val="00F570AA"/>
    <w:rsid w:val="00F5730F"/>
    <w:rsid w:val="00F5759D"/>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0A8"/>
    <w:rsid w:val="00F8430B"/>
    <w:rsid w:val="00F84421"/>
    <w:rsid w:val="00F8449B"/>
    <w:rsid w:val="00F848FC"/>
    <w:rsid w:val="00F84D8D"/>
    <w:rsid w:val="00F85691"/>
    <w:rsid w:val="00F85859"/>
    <w:rsid w:val="00F85F67"/>
    <w:rsid w:val="00F8675B"/>
    <w:rsid w:val="00F86E13"/>
    <w:rsid w:val="00F87032"/>
    <w:rsid w:val="00F87094"/>
    <w:rsid w:val="00F870C2"/>
    <w:rsid w:val="00F87328"/>
    <w:rsid w:val="00F87748"/>
    <w:rsid w:val="00F87AB3"/>
    <w:rsid w:val="00F87E43"/>
    <w:rsid w:val="00F90881"/>
    <w:rsid w:val="00F90C82"/>
    <w:rsid w:val="00F90F07"/>
    <w:rsid w:val="00F9101E"/>
    <w:rsid w:val="00F91139"/>
    <w:rsid w:val="00F913DC"/>
    <w:rsid w:val="00F914B2"/>
    <w:rsid w:val="00F917FE"/>
    <w:rsid w:val="00F91DDA"/>
    <w:rsid w:val="00F936FE"/>
    <w:rsid w:val="00F9386F"/>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0"/>
    <w:rsid w:val="00FB350A"/>
    <w:rsid w:val="00FB4A7A"/>
    <w:rsid w:val="00FB4B8A"/>
    <w:rsid w:val="00FB5152"/>
    <w:rsid w:val="00FB59E5"/>
    <w:rsid w:val="00FB59FD"/>
    <w:rsid w:val="00FB680E"/>
    <w:rsid w:val="00FB75AA"/>
    <w:rsid w:val="00FB7723"/>
    <w:rsid w:val="00FB79DA"/>
    <w:rsid w:val="00FB7C3B"/>
    <w:rsid w:val="00FC0065"/>
    <w:rsid w:val="00FC2F30"/>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3CB"/>
    <w:rsid w:val="00FE04B0"/>
    <w:rsid w:val="00FE1142"/>
    <w:rsid w:val="00FE13C0"/>
    <w:rsid w:val="00FE2398"/>
    <w:rsid w:val="00FE24D3"/>
    <w:rsid w:val="00FE2CBB"/>
    <w:rsid w:val="00FE2E4B"/>
    <w:rsid w:val="00FE2F15"/>
    <w:rsid w:val="00FE3420"/>
    <w:rsid w:val="00FE491B"/>
    <w:rsid w:val="00FE4990"/>
    <w:rsid w:val="00FE4C15"/>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99918215">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420238">
      <w:bodyDiv w:val="1"/>
      <w:marLeft w:val="0"/>
      <w:marRight w:val="0"/>
      <w:marTop w:val="0"/>
      <w:marBottom w:val="0"/>
      <w:divBdr>
        <w:top w:val="none" w:sz="0" w:space="0" w:color="auto"/>
        <w:left w:val="none" w:sz="0" w:space="0" w:color="auto"/>
        <w:bottom w:val="none" w:sz="0" w:space="0" w:color="auto"/>
        <w:right w:val="none" w:sz="0" w:space="0" w:color="auto"/>
      </w:divBdr>
      <w:divsChild>
        <w:div w:id="778719496">
          <w:marLeft w:val="547"/>
          <w:marRight w:val="0"/>
          <w:marTop w:val="0"/>
          <w:marBottom w:val="0"/>
          <w:divBdr>
            <w:top w:val="none" w:sz="0" w:space="0" w:color="auto"/>
            <w:left w:val="none" w:sz="0" w:space="0" w:color="auto"/>
            <w:bottom w:val="none" w:sz="0" w:space="0" w:color="auto"/>
            <w:right w:val="none" w:sz="0" w:space="0" w:color="auto"/>
          </w:divBdr>
        </w:div>
        <w:div w:id="429543889">
          <w:marLeft w:val="547"/>
          <w:marRight w:val="0"/>
          <w:marTop w:val="0"/>
          <w:marBottom w:val="0"/>
          <w:divBdr>
            <w:top w:val="none" w:sz="0" w:space="0" w:color="auto"/>
            <w:left w:val="none" w:sz="0" w:space="0" w:color="auto"/>
            <w:bottom w:val="none" w:sz="0" w:space="0" w:color="auto"/>
            <w:right w:val="none" w:sz="0" w:space="0" w:color="auto"/>
          </w:divBdr>
        </w:div>
        <w:div w:id="1340888064">
          <w:marLeft w:val="547"/>
          <w:marRight w:val="0"/>
          <w:marTop w:val="0"/>
          <w:marBottom w:val="0"/>
          <w:divBdr>
            <w:top w:val="none" w:sz="0" w:space="0" w:color="auto"/>
            <w:left w:val="none" w:sz="0" w:space="0" w:color="auto"/>
            <w:bottom w:val="none" w:sz="0" w:space="0" w:color="auto"/>
            <w:right w:val="none" w:sz="0" w:space="0" w:color="auto"/>
          </w:divBdr>
        </w:div>
        <w:div w:id="1063217146">
          <w:marLeft w:val="547"/>
          <w:marRight w:val="0"/>
          <w:marTop w:val="0"/>
          <w:marBottom w:val="0"/>
          <w:divBdr>
            <w:top w:val="none" w:sz="0" w:space="0" w:color="auto"/>
            <w:left w:val="none" w:sz="0" w:space="0" w:color="auto"/>
            <w:bottom w:val="none" w:sz="0" w:space="0" w:color="auto"/>
            <w:right w:val="none" w:sz="0" w:space="0" w:color="auto"/>
          </w:divBdr>
        </w:div>
        <w:div w:id="1903364251">
          <w:marLeft w:val="547"/>
          <w:marRight w:val="0"/>
          <w:marTop w:val="0"/>
          <w:marBottom w:val="0"/>
          <w:divBdr>
            <w:top w:val="none" w:sz="0" w:space="0" w:color="auto"/>
            <w:left w:val="none" w:sz="0" w:space="0" w:color="auto"/>
            <w:bottom w:val="none" w:sz="0" w:space="0" w:color="auto"/>
            <w:right w:val="none" w:sz="0" w:space="0" w:color="auto"/>
          </w:divBdr>
        </w:div>
      </w:divsChild>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3897999">
      <w:bodyDiv w:val="1"/>
      <w:marLeft w:val="0"/>
      <w:marRight w:val="0"/>
      <w:marTop w:val="0"/>
      <w:marBottom w:val="0"/>
      <w:divBdr>
        <w:top w:val="none" w:sz="0" w:space="0" w:color="auto"/>
        <w:left w:val="none" w:sz="0" w:space="0" w:color="auto"/>
        <w:bottom w:val="none" w:sz="0" w:space="0" w:color="auto"/>
        <w:right w:val="none" w:sz="0" w:space="0" w:color="auto"/>
      </w:divBdr>
      <w:divsChild>
        <w:div w:id="300698174">
          <w:marLeft w:val="547"/>
          <w:marRight w:val="0"/>
          <w:marTop w:val="0"/>
          <w:marBottom w:val="0"/>
          <w:divBdr>
            <w:top w:val="none" w:sz="0" w:space="0" w:color="auto"/>
            <w:left w:val="none" w:sz="0" w:space="0" w:color="auto"/>
            <w:bottom w:val="none" w:sz="0" w:space="0" w:color="auto"/>
            <w:right w:val="none" w:sz="0" w:space="0" w:color="auto"/>
          </w:divBdr>
        </w:div>
        <w:div w:id="1674144579">
          <w:marLeft w:val="547"/>
          <w:marRight w:val="0"/>
          <w:marTop w:val="0"/>
          <w:marBottom w:val="0"/>
          <w:divBdr>
            <w:top w:val="none" w:sz="0" w:space="0" w:color="auto"/>
            <w:left w:val="none" w:sz="0" w:space="0" w:color="auto"/>
            <w:bottom w:val="none" w:sz="0" w:space="0" w:color="auto"/>
            <w:right w:val="none" w:sz="0" w:space="0" w:color="auto"/>
          </w:divBdr>
        </w:div>
        <w:div w:id="1701512835">
          <w:marLeft w:val="547"/>
          <w:marRight w:val="0"/>
          <w:marTop w:val="0"/>
          <w:marBottom w:val="0"/>
          <w:divBdr>
            <w:top w:val="none" w:sz="0" w:space="0" w:color="auto"/>
            <w:left w:val="none" w:sz="0" w:space="0" w:color="auto"/>
            <w:bottom w:val="none" w:sz="0" w:space="0" w:color="auto"/>
            <w:right w:val="none" w:sz="0" w:space="0" w:color="auto"/>
          </w:divBdr>
        </w:div>
        <w:div w:id="974218182">
          <w:marLeft w:val="547"/>
          <w:marRight w:val="0"/>
          <w:marTop w:val="0"/>
          <w:marBottom w:val="0"/>
          <w:divBdr>
            <w:top w:val="none" w:sz="0" w:space="0" w:color="auto"/>
            <w:left w:val="none" w:sz="0" w:space="0" w:color="auto"/>
            <w:bottom w:val="none" w:sz="0" w:space="0" w:color="auto"/>
            <w:right w:val="none" w:sz="0" w:space="0" w:color="auto"/>
          </w:divBdr>
        </w:div>
      </w:divsChild>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04811447">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1166030">
      <w:bodyDiv w:val="1"/>
      <w:marLeft w:val="0"/>
      <w:marRight w:val="0"/>
      <w:marTop w:val="0"/>
      <w:marBottom w:val="0"/>
      <w:divBdr>
        <w:top w:val="none" w:sz="0" w:space="0" w:color="auto"/>
        <w:left w:val="none" w:sz="0" w:space="0" w:color="auto"/>
        <w:bottom w:val="none" w:sz="0" w:space="0" w:color="auto"/>
        <w:right w:val="none" w:sz="0" w:space="0" w:color="auto"/>
      </w:divBdr>
      <w:divsChild>
        <w:div w:id="1061714689">
          <w:marLeft w:val="547"/>
          <w:marRight w:val="0"/>
          <w:marTop w:val="0"/>
          <w:marBottom w:val="0"/>
          <w:divBdr>
            <w:top w:val="none" w:sz="0" w:space="0" w:color="auto"/>
            <w:left w:val="none" w:sz="0" w:space="0" w:color="auto"/>
            <w:bottom w:val="none" w:sz="0" w:space="0" w:color="auto"/>
            <w:right w:val="none" w:sz="0" w:space="0" w:color="auto"/>
          </w:divBdr>
        </w:div>
        <w:div w:id="1464425004">
          <w:marLeft w:val="1166"/>
          <w:marRight w:val="0"/>
          <w:marTop w:val="0"/>
          <w:marBottom w:val="0"/>
          <w:divBdr>
            <w:top w:val="none" w:sz="0" w:space="0" w:color="auto"/>
            <w:left w:val="none" w:sz="0" w:space="0" w:color="auto"/>
            <w:bottom w:val="none" w:sz="0" w:space="0" w:color="auto"/>
            <w:right w:val="none" w:sz="0" w:space="0" w:color="auto"/>
          </w:divBdr>
        </w:div>
        <w:div w:id="1030454093">
          <w:marLeft w:val="1166"/>
          <w:marRight w:val="0"/>
          <w:marTop w:val="0"/>
          <w:marBottom w:val="0"/>
          <w:divBdr>
            <w:top w:val="none" w:sz="0" w:space="0" w:color="auto"/>
            <w:left w:val="none" w:sz="0" w:space="0" w:color="auto"/>
            <w:bottom w:val="none" w:sz="0" w:space="0" w:color="auto"/>
            <w:right w:val="none" w:sz="0" w:space="0" w:color="auto"/>
          </w:divBdr>
        </w:div>
        <w:div w:id="140314283">
          <w:marLeft w:val="1166"/>
          <w:marRight w:val="0"/>
          <w:marTop w:val="0"/>
          <w:marBottom w:val="0"/>
          <w:divBdr>
            <w:top w:val="none" w:sz="0" w:space="0" w:color="auto"/>
            <w:left w:val="none" w:sz="0" w:space="0" w:color="auto"/>
            <w:bottom w:val="none" w:sz="0" w:space="0" w:color="auto"/>
            <w:right w:val="none" w:sz="0" w:space="0" w:color="auto"/>
          </w:divBdr>
        </w:div>
        <w:div w:id="304548803">
          <w:marLeft w:val="1166"/>
          <w:marRight w:val="0"/>
          <w:marTop w:val="0"/>
          <w:marBottom w:val="0"/>
          <w:divBdr>
            <w:top w:val="none" w:sz="0" w:space="0" w:color="auto"/>
            <w:left w:val="none" w:sz="0" w:space="0" w:color="auto"/>
            <w:bottom w:val="none" w:sz="0" w:space="0" w:color="auto"/>
            <w:right w:val="none" w:sz="0" w:space="0" w:color="auto"/>
          </w:divBdr>
        </w:div>
        <w:div w:id="80103412">
          <w:marLeft w:val="547"/>
          <w:marRight w:val="0"/>
          <w:marTop w:val="0"/>
          <w:marBottom w:val="0"/>
          <w:divBdr>
            <w:top w:val="none" w:sz="0" w:space="0" w:color="auto"/>
            <w:left w:val="none" w:sz="0" w:space="0" w:color="auto"/>
            <w:bottom w:val="none" w:sz="0" w:space="0" w:color="auto"/>
            <w:right w:val="none" w:sz="0" w:space="0" w:color="auto"/>
          </w:divBdr>
        </w:div>
        <w:div w:id="257568624">
          <w:marLeft w:val="1166"/>
          <w:marRight w:val="0"/>
          <w:marTop w:val="0"/>
          <w:marBottom w:val="0"/>
          <w:divBdr>
            <w:top w:val="none" w:sz="0" w:space="0" w:color="auto"/>
            <w:left w:val="none" w:sz="0" w:space="0" w:color="auto"/>
            <w:bottom w:val="none" w:sz="0" w:space="0" w:color="auto"/>
            <w:right w:val="none" w:sz="0" w:space="0" w:color="auto"/>
          </w:divBdr>
        </w:div>
        <w:div w:id="1410035582">
          <w:marLeft w:val="1166"/>
          <w:marRight w:val="0"/>
          <w:marTop w:val="0"/>
          <w:marBottom w:val="0"/>
          <w:divBdr>
            <w:top w:val="none" w:sz="0" w:space="0" w:color="auto"/>
            <w:left w:val="none" w:sz="0" w:space="0" w:color="auto"/>
            <w:bottom w:val="none" w:sz="0" w:space="0" w:color="auto"/>
            <w:right w:val="none" w:sz="0" w:space="0" w:color="auto"/>
          </w:divBdr>
        </w:div>
        <w:div w:id="726877315">
          <w:marLeft w:val="1166"/>
          <w:marRight w:val="0"/>
          <w:marTop w:val="0"/>
          <w:marBottom w:val="0"/>
          <w:divBdr>
            <w:top w:val="none" w:sz="0" w:space="0" w:color="auto"/>
            <w:left w:val="none" w:sz="0" w:space="0" w:color="auto"/>
            <w:bottom w:val="none" w:sz="0" w:space="0" w:color="auto"/>
            <w:right w:val="none" w:sz="0" w:space="0" w:color="auto"/>
          </w:divBdr>
        </w:div>
        <w:div w:id="1179153802">
          <w:marLeft w:val="1166"/>
          <w:marRight w:val="0"/>
          <w:marTop w:val="0"/>
          <w:marBottom w:val="0"/>
          <w:divBdr>
            <w:top w:val="none" w:sz="0" w:space="0" w:color="auto"/>
            <w:left w:val="none" w:sz="0" w:space="0" w:color="auto"/>
            <w:bottom w:val="none" w:sz="0" w:space="0" w:color="auto"/>
            <w:right w:val="none" w:sz="0" w:space="0" w:color="auto"/>
          </w:divBdr>
        </w:div>
        <w:div w:id="757480127">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3308443">
      <w:bodyDiv w:val="1"/>
      <w:marLeft w:val="0"/>
      <w:marRight w:val="0"/>
      <w:marTop w:val="0"/>
      <w:marBottom w:val="0"/>
      <w:divBdr>
        <w:top w:val="none" w:sz="0" w:space="0" w:color="auto"/>
        <w:left w:val="none" w:sz="0" w:space="0" w:color="auto"/>
        <w:bottom w:val="none" w:sz="0" w:space="0" w:color="auto"/>
        <w:right w:val="none" w:sz="0" w:space="0" w:color="auto"/>
      </w:divBdr>
      <w:divsChild>
        <w:div w:id="1497260698">
          <w:marLeft w:val="547"/>
          <w:marRight w:val="0"/>
          <w:marTop w:val="0"/>
          <w:marBottom w:val="0"/>
          <w:divBdr>
            <w:top w:val="none" w:sz="0" w:space="0" w:color="auto"/>
            <w:left w:val="none" w:sz="0" w:space="0" w:color="auto"/>
            <w:bottom w:val="none" w:sz="0" w:space="0" w:color="auto"/>
            <w:right w:val="none" w:sz="0" w:space="0" w:color="auto"/>
          </w:divBdr>
        </w:div>
        <w:div w:id="1724598912">
          <w:marLeft w:val="547"/>
          <w:marRight w:val="0"/>
          <w:marTop w:val="0"/>
          <w:marBottom w:val="0"/>
          <w:divBdr>
            <w:top w:val="none" w:sz="0" w:space="0" w:color="auto"/>
            <w:left w:val="none" w:sz="0" w:space="0" w:color="auto"/>
            <w:bottom w:val="none" w:sz="0" w:space="0" w:color="auto"/>
            <w:right w:val="none" w:sz="0" w:space="0" w:color="auto"/>
          </w:divBdr>
        </w:div>
        <w:div w:id="1584492220">
          <w:marLeft w:val="547"/>
          <w:marRight w:val="0"/>
          <w:marTop w:val="0"/>
          <w:marBottom w:val="0"/>
          <w:divBdr>
            <w:top w:val="none" w:sz="0" w:space="0" w:color="auto"/>
            <w:left w:val="none" w:sz="0" w:space="0" w:color="auto"/>
            <w:bottom w:val="none" w:sz="0" w:space="0" w:color="auto"/>
            <w:right w:val="none" w:sz="0" w:space="0" w:color="auto"/>
          </w:divBdr>
        </w:div>
        <w:div w:id="1790510387">
          <w:marLeft w:val="1166"/>
          <w:marRight w:val="0"/>
          <w:marTop w:val="0"/>
          <w:marBottom w:val="0"/>
          <w:divBdr>
            <w:top w:val="none" w:sz="0" w:space="0" w:color="auto"/>
            <w:left w:val="none" w:sz="0" w:space="0" w:color="auto"/>
            <w:bottom w:val="none" w:sz="0" w:space="0" w:color="auto"/>
            <w:right w:val="none" w:sz="0" w:space="0" w:color="auto"/>
          </w:divBdr>
        </w:div>
        <w:div w:id="24145392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1612805">
      <w:bodyDiv w:val="1"/>
      <w:marLeft w:val="0"/>
      <w:marRight w:val="0"/>
      <w:marTop w:val="0"/>
      <w:marBottom w:val="0"/>
      <w:divBdr>
        <w:top w:val="none" w:sz="0" w:space="0" w:color="auto"/>
        <w:left w:val="none" w:sz="0" w:space="0" w:color="auto"/>
        <w:bottom w:val="none" w:sz="0" w:space="0" w:color="auto"/>
        <w:right w:val="none" w:sz="0" w:space="0" w:color="auto"/>
      </w:divBdr>
      <w:divsChild>
        <w:div w:id="243073807">
          <w:marLeft w:val="547"/>
          <w:marRight w:val="0"/>
          <w:marTop w:val="0"/>
          <w:marBottom w:val="0"/>
          <w:divBdr>
            <w:top w:val="none" w:sz="0" w:space="0" w:color="auto"/>
            <w:left w:val="none" w:sz="0" w:space="0" w:color="auto"/>
            <w:bottom w:val="none" w:sz="0" w:space="0" w:color="auto"/>
            <w:right w:val="none" w:sz="0" w:space="0" w:color="auto"/>
          </w:divBdr>
        </w:div>
        <w:div w:id="1820031824">
          <w:marLeft w:val="1166"/>
          <w:marRight w:val="0"/>
          <w:marTop w:val="0"/>
          <w:marBottom w:val="0"/>
          <w:divBdr>
            <w:top w:val="none" w:sz="0" w:space="0" w:color="auto"/>
            <w:left w:val="none" w:sz="0" w:space="0" w:color="auto"/>
            <w:bottom w:val="none" w:sz="0" w:space="0" w:color="auto"/>
            <w:right w:val="none" w:sz="0" w:space="0" w:color="auto"/>
          </w:divBdr>
        </w:div>
        <w:div w:id="835072012">
          <w:marLeft w:val="1166"/>
          <w:marRight w:val="0"/>
          <w:marTop w:val="0"/>
          <w:marBottom w:val="0"/>
          <w:divBdr>
            <w:top w:val="none" w:sz="0" w:space="0" w:color="auto"/>
            <w:left w:val="none" w:sz="0" w:space="0" w:color="auto"/>
            <w:bottom w:val="none" w:sz="0" w:space="0" w:color="auto"/>
            <w:right w:val="none" w:sz="0" w:space="0" w:color="auto"/>
          </w:divBdr>
        </w:div>
        <w:div w:id="903417428">
          <w:marLeft w:val="547"/>
          <w:marRight w:val="0"/>
          <w:marTop w:val="0"/>
          <w:marBottom w:val="180"/>
          <w:divBdr>
            <w:top w:val="none" w:sz="0" w:space="0" w:color="auto"/>
            <w:left w:val="none" w:sz="0" w:space="0" w:color="auto"/>
            <w:bottom w:val="none" w:sz="0" w:space="0" w:color="auto"/>
            <w:right w:val="none" w:sz="0" w:space="0" w:color="auto"/>
          </w:divBdr>
        </w:div>
        <w:div w:id="648826789">
          <w:marLeft w:val="547"/>
          <w:marRight w:val="0"/>
          <w:marTop w:val="0"/>
          <w:marBottom w:val="180"/>
          <w:divBdr>
            <w:top w:val="none" w:sz="0" w:space="0" w:color="auto"/>
            <w:left w:val="none" w:sz="0" w:space="0" w:color="auto"/>
            <w:bottom w:val="none" w:sz="0" w:space="0" w:color="auto"/>
            <w:right w:val="none" w:sz="0" w:space="0" w:color="auto"/>
          </w:divBdr>
        </w:div>
        <w:div w:id="958411450">
          <w:marLeft w:val="1166"/>
          <w:marRight w:val="0"/>
          <w:marTop w:val="0"/>
          <w:marBottom w:val="0"/>
          <w:divBdr>
            <w:top w:val="none" w:sz="0" w:space="0" w:color="auto"/>
            <w:left w:val="none" w:sz="0" w:space="0" w:color="auto"/>
            <w:bottom w:val="none" w:sz="0" w:space="0" w:color="auto"/>
            <w:right w:val="none" w:sz="0" w:space="0" w:color="auto"/>
          </w:divBdr>
        </w:div>
        <w:div w:id="1456632089">
          <w:marLeft w:val="1166"/>
          <w:marRight w:val="0"/>
          <w:marTop w:val="0"/>
          <w:marBottom w:val="0"/>
          <w:divBdr>
            <w:top w:val="none" w:sz="0" w:space="0" w:color="auto"/>
            <w:left w:val="none" w:sz="0" w:space="0" w:color="auto"/>
            <w:bottom w:val="none" w:sz="0" w:space="0" w:color="auto"/>
            <w:right w:val="none" w:sz="0" w:space="0" w:color="auto"/>
          </w:divBdr>
        </w:div>
        <w:div w:id="230316852">
          <w:marLeft w:val="1166"/>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27388386">
      <w:bodyDiv w:val="1"/>
      <w:marLeft w:val="0"/>
      <w:marRight w:val="0"/>
      <w:marTop w:val="0"/>
      <w:marBottom w:val="0"/>
      <w:divBdr>
        <w:top w:val="none" w:sz="0" w:space="0" w:color="auto"/>
        <w:left w:val="none" w:sz="0" w:space="0" w:color="auto"/>
        <w:bottom w:val="none" w:sz="0" w:space="0" w:color="auto"/>
        <w:right w:val="none" w:sz="0" w:space="0" w:color="auto"/>
      </w:divBdr>
      <w:divsChild>
        <w:div w:id="1601379316">
          <w:marLeft w:val="547"/>
          <w:marRight w:val="0"/>
          <w:marTop w:val="0"/>
          <w:marBottom w:val="0"/>
          <w:divBdr>
            <w:top w:val="none" w:sz="0" w:space="0" w:color="auto"/>
            <w:left w:val="none" w:sz="0" w:space="0" w:color="auto"/>
            <w:bottom w:val="none" w:sz="0" w:space="0" w:color="auto"/>
            <w:right w:val="none" w:sz="0" w:space="0" w:color="auto"/>
          </w:divBdr>
        </w:div>
        <w:div w:id="1123186417">
          <w:marLeft w:val="1166"/>
          <w:marRight w:val="0"/>
          <w:marTop w:val="0"/>
          <w:marBottom w:val="0"/>
          <w:divBdr>
            <w:top w:val="none" w:sz="0" w:space="0" w:color="auto"/>
            <w:left w:val="none" w:sz="0" w:space="0" w:color="auto"/>
            <w:bottom w:val="none" w:sz="0" w:space="0" w:color="auto"/>
            <w:right w:val="none" w:sz="0" w:space="0" w:color="auto"/>
          </w:divBdr>
        </w:div>
        <w:div w:id="1269779390">
          <w:marLeft w:val="1166"/>
          <w:marRight w:val="0"/>
          <w:marTop w:val="0"/>
          <w:marBottom w:val="0"/>
          <w:divBdr>
            <w:top w:val="none" w:sz="0" w:space="0" w:color="auto"/>
            <w:left w:val="none" w:sz="0" w:space="0" w:color="auto"/>
            <w:bottom w:val="none" w:sz="0" w:space="0" w:color="auto"/>
            <w:right w:val="none" w:sz="0" w:space="0" w:color="auto"/>
          </w:divBdr>
        </w:div>
        <w:div w:id="1763867096">
          <w:marLeft w:val="547"/>
          <w:marRight w:val="0"/>
          <w:marTop w:val="0"/>
          <w:marBottom w:val="180"/>
          <w:divBdr>
            <w:top w:val="none" w:sz="0" w:space="0" w:color="auto"/>
            <w:left w:val="none" w:sz="0" w:space="0" w:color="auto"/>
            <w:bottom w:val="none" w:sz="0" w:space="0" w:color="auto"/>
            <w:right w:val="none" w:sz="0" w:space="0" w:color="auto"/>
          </w:divBdr>
        </w:div>
        <w:div w:id="1410230732">
          <w:marLeft w:val="547"/>
          <w:marRight w:val="0"/>
          <w:marTop w:val="0"/>
          <w:marBottom w:val="180"/>
          <w:divBdr>
            <w:top w:val="none" w:sz="0" w:space="0" w:color="auto"/>
            <w:left w:val="none" w:sz="0" w:space="0" w:color="auto"/>
            <w:bottom w:val="none" w:sz="0" w:space="0" w:color="auto"/>
            <w:right w:val="none" w:sz="0" w:space="0" w:color="auto"/>
          </w:divBdr>
        </w:div>
        <w:div w:id="801004118">
          <w:marLeft w:val="1166"/>
          <w:marRight w:val="0"/>
          <w:marTop w:val="0"/>
          <w:marBottom w:val="0"/>
          <w:divBdr>
            <w:top w:val="none" w:sz="0" w:space="0" w:color="auto"/>
            <w:left w:val="none" w:sz="0" w:space="0" w:color="auto"/>
            <w:bottom w:val="none" w:sz="0" w:space="0" w:color="auto"/>
            <w:right w:val="none" w:sz="0" w:space="0" w:color="auto"/>
          </w:divBdr>
        </w:div>
        <w:div w:id="218170316">
          <w:marLeft w:val="1166"/>
          <w:marRight w:val="0"/>
          <w:marTop w:val="0"/>
          <w:marBottom w:val="0"/>
          <w:divBdr>
            <w:top w:val="none" w:sz="0" w:space="0" w:color="auto"/>
            <w:left w:val="none" w:sz="0" w:space="0" w:color="auto"/>
            <w:bottom w:val="none" w:sz="0" w:space="0" w:color="auto"/>
            <w:right w:val="none" w:sz="0" w:space="0" w:color="auto"/>
          </w:divBdr>
        </w:div>
        <w:div w:id="1646935675">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34B339-B9DA-4E21-8691-5AAF41373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3433</TotalTime>
  <Pages>3</Pages>
  <Words>696</Words>
  <Characters>5641</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476</cp:revision>
  <cp:lastPrinted>2020-10-14T15:51:00Z</cp:lastPrinted>
  <dcterms:created xsi:type="dcterms:W3CDTF">2021-03-28T15:57:00Z</dcterms:created>
  <dcterms:modified xsi:type="dcterms:W3CDTF">2021-11-05T14:06:00Z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